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B47C" w14:textId="107A62D3" w:rsidR="000038EC" w:rsidRPr="00876B4D" w:rsidRDefault="00C0581F" w:rsidP="000038EC">
      <w:pPr>
        <w:jc w:val="center"/>
        <w:rPr>
          <w:b/>
          <w:sz w:val="22"/>
          <w:szCs w:val="22"/>
        </w:rPr>
      </w:pPr>
      <w:r w:rsidRPr="00876B4D">
        <w:rPr>
          <w:b/>
          <w:sz w:val="22"/>
          <w:szCs w:val="22"/>
        </w:rPr>
        <w:t xml:space="preserve">CPUP </w:t>
      </w:r>
      <w:r w:rsidR="000038EC" w:rsidRPr="00876B4D">
        <w:rPr>
          <w:b/>
          <w:sz w:val="22"/>
          <w:szCs w:val="22"/>
        </w:rPr>
        <w:t>Faculty Compensation Plan</w:t>
      </w:r>
    </w:p>
    <w:p w14:paraId="422DF1AC" w14:textId="1C8E6035" w:rsidR="00C0581F" w:rsidRPr="00876B4D" w:rsidRDefault="00C0581F" w:rsidP="000038EC">
      <w:pPr>
        <w:jc w:val="center"/>
        <w:rPr>
          <w:b/>
          <w:sz w:val="22"/>
          <w:szCs w:val="22"/>
        </w:rPr>
      </w:pPr>
      <w:r w:rsidRPr="00876B4D">
        <w:rPr>
          <w:b/>
          <w:sz w:val="22"/>
          <w:szCs w:val="22"/>
        </w:rPr>
        <w:t>Department of [insert name]</w:t>
      </w:r>
    </w:p>
    <w:p w14:paraId="3B57A4FB" w14:textId="77777777" w:rsidR="000038EC" w:rsidRPr="00876B4D" w:rsidRDefault="000038EC" w:rsidP="000038EC">
      <w:pPr>
        <w:jc w:val="both"/>
        <w:rPr>
          <w:b/>
          <w:sz w:val="22"/>
          <w:szCs w:val="22"/>
        </w:rPr>
      </w:pPr>
    </w:p>
    <w:p w14:paraId="2C6109E6" w14:textId="77777777" w:rsidR="000038EC" w:rsidRPr="00876B4D" w:rsidRDefault="000038EC" w:rsidP="000038EC">
      <w:pPr>
        <w:jc w:val="both"/>
        <w:rPr>
          <w:b/>
          <w:sz w:val="22"/>
          <w:szCs w:val="22"/>
        </w:rPr>
      </w:pPr>
      <w:r w:rsidRPr="00876B4D">
        <w:rPr>
          <w:b/>
          <w:sz w:val="22"/>
          <w:szCs w:val="22"/>
        </w:rPr>
        <w:t>PURPOSE:</w:t>
      </w:r>
    </w:p>
    <w:p w14:paraId="21C598CB" w14:textId="6A9BCB0A" w:rsidR="000038EC" w:rsidRPr="00876B4D" w:rsidRDefault="000038EC" w:rsidP="000038EC">
      <w:pPr>
        <w:ind w:left="360"/>
        <w:rPr>
          <w:sz w:val="22"/>
          <w:szCs w:val="22"/>
        </w:rPr>
      </w:pPr>
      <w:r w:rsidRPr="00876B4D">
        <w:rPr>
          <w:sz w:val="22"/>
          <w:szCs w:val="22"/>
        </w:rPr>
        <w:t>The Department of [insert name] Faculty Compensation Plan (“Compensation Plan”) is a performance-based plan that is designed to promote the success of individual faculty members, the Department, and Penn Medicine by rewarding achievement with respect to patient care, teaching, scholarship</w:t>
      </w:r>
      <w:r w:rsidR="00746D32" w:rsidRPr="00876B4D">
        <w:rPr>
          <w:sz w:val="22"/>
          <w:szCs w:val="22"/>
        </w:rPr>
        <w:t>,</w:t>
      </w:r>
      <w:r w:rsidRPr="00876B4D">
        <w:rPr>
          <w:sz w:val="22"/>
          <w:szCs w:val="22"/>
        </w:rPr>
        <w:t xml:space="preserve"> and community service.    </w:t>
      </w:r>
    </w:p>
    <w:p w14:paraId="34836E3A" w14:textId="77777777" w:rsidR="000038EC" w:rsidRPr="00876B4D" w:rsidRDefault="000038EC" w:rsidP="000038EC">
      <w:pPr>
        <w:rPr>
          <w:sz w:val="22"/>
          <w:szCs w:val="22"/>
        </w:rPr>
      </w:pPr>
    </w:p>
    <w:p w14:paraId="31286FAD" w14:textId="77777777" w:rsidR="000038EC" w:rsidRPr="00876B4D" w:rsidRDefault="000038EC" w:rsidP="000038EC">
      <w:pPr>
        <w:rPr>
          <w:b/>
          <w:sz w:val="22"/>
          <w:szCs w:val="22"/>
        </w:rPr>
      </w:pPr>
      <w:r w:rsidRPr="00876B4D">
        <w:rPr>
          <w:b/>
          <w:sz w:val="22"/>
          <w:szCs w:val="22"/>
        </w:rPr>
        <w:t>PRINCIPLES:</w:t>
      </w:r>
    </w:p>
    <w:p w14:paraId="77511A0F" w14:textId="77777777" w:rsidR="000038EC" w:rsidRPr="00876B4D" w:rsidRDefault="000038EC" w:rsidP="000038EC">
      <w:pPr>
        <w:rPr>
          <w:sz w:val="22"/>
          <w:szCs w:val="22"/>
        </w:rPr>
      </w:pPr>
      <w:r w:rsidRPr="00876B4D">
        <w:rPr>
          <w:sz w:val="22"/>
          <w:szCs w:val="22"/>
        </w:rPr>
        <w:t>The Compensation Plan is designed to:</w:t>
      </w:r>
    </w:p>
    <w:p w14:paraId="7D61A5F6" w14:textId="1E2B5845" w:rsidR="000038EC" w:rsidRPr="00876B4D" w:rsidRDefault="000038EC" w:rsidP="000038EC">
      <w:pPr>
        <w:numPr>
          <w:ilvl w:val="0"/>
          <w:numId w:val="12"/>
        </w:numPr>
        <w:spacing w:after="200" w:line="276" w:lineRule="auto"/>
        <w:contextualSpacing/>
        <w:rPr>
          <w:sz w:val="22"/>
          <w:szCs w:val="22"/>
        </w:rPr>
      </w:pPr>
      <w:r w:rsidRPr="00876B4D">
        <w:rPr>
          <w:sz w:val="22"/>
          <w:szCs w:val="22"/>
        </w:rPr>
        <w:t>Be financially sound and operate within the fiscal bounds of the Perelman School of Medicine (PSOM), UPHS, CPUP</w:t>
      </w:r>
      <w:r w:rsidR="00746D32" w:rsidRPr="00876B4D">
        <w:rPr>
          <w:sz w:val="22"/>
          <w:szCs w:val="22"/>
        </w:rPr>
        <w:t>,</w:t>
      </w:r>
      <w:r w:rsidRPr="00876B4D">
        <w:rPr>
          <w:sz w:val="22"/>
          <w:szCs w:val="22"/>
        </w:rPr>
        <w:t xml:space="preserve"> and the Department.  </w:t>
      </w:r>
    </w:p>
    <w:p w14:paraId="2628B997" w14:textId="77777777" w:rsidR="000038EC" w:rsidRPr="00876B4D" w:rsidRDefault="000038EC" w:rsidP="000038EC">
      <w:pPr>
        <w:numPr>
          <w:ilvl w:val="0"/>
          <w:numId w:val="12"/>
        </w:numPr>
        <w:spacing w:after="200" w:line="276" w:lineRule="auto"/>
        <w:contextualSpacing/>
        <w:rPr>
          <w:sz w:val="22"/>
          <w:szCs w:val="22"/>
        </w:rPr>
      </w:pPr>
      <w:r w:rsidRPr="00876B4D">
        <w:rPr>
          <w:sz w:val="22"/>
          <w:szCs w:val="22"/>
        </w:rPr>
        <w:t>Incorporate objective measures of both individual and team productivity and performance.</w:t>
      </w:r>
    </w:p>
    <w:p w14:paraId="0364AD00" w14:textId="77777777" w:rsidR="000038EC" w:rsidRPr="00876B4D" w:rsidRDefault="000038EC" w:rsidP="000038EC">
      <w:pPr>
        <w:numPr>
          <w:ilvl w:val="0"/>
          <w:numId w:val="12"/>
        </w:numPr>
        <w:spacing w:after="200" w:line="276" w:lineRule="auto"/>
        <w:contextualSpacing/>
        <w:rPr>
          <w:sz w:val="22"/>
          <w:szCs w:val="22"/>
        </w:rPr>
      </w:pPr>
      <w:r w:rsidRPr="00876B4D">
        <w:rPr>
          <w:sz w:val="22"/>
          <w:szCs w:val="22"/>
        </w:rPr>
        <w:t>Incorporate metrics aligned with the goals and strategic priorities of the Department, PSOM, and Penn Medicine.</w:t>
      </w:r>
    </w:p>
    <w:p w14:paraId="484D95FE" w14:textId="77777777" w:rsidR="000038EC" w:rsidRPr="00876B4D" w:rsidRDefault="000038EC" w:rsidP="000038EC">
      <w:pPr>
        <w:numPr>
          <w:ilvl w:val="0"/>
          <w:numId w:val="12"/>
        </w:numPr>
        <w:spacing w:after="200" w:line="276" w:lineRule="auto"/>
        <w:contextualSpacing/>
        <w:rPr>
          <w:sz w:val="22"/>
          <w:szCs w:val="22"/>
        </w:rPr>
      </w:pPr>
      <w:r w:rsidRPr="00876B4D">
        <w:rPr>
          <w:sz w:val="22"/>
          <w:szCs w:val="22"/>
        </w:rPr>
        <w:t>Utilize commercially reasonable compensation methodologies that are standardized, transparent, easy to administer, and which produce fair market value compensation for services performed.</w:t>
      </w:r>
    </w:p>
    <w:p w14:paraId="63800591" w14:textId="77777777" w:rsidR="000038EC" w:rsidRPr="00876B4D" w:rsidRDefault="000038EC" w:rsidP="000038EC">
      <w:pPr>
        <w:numPr>
          <w:ilvl w:val="0"/>
          <w:numId w:val="12"/>
        </w:numPr>
        <w:spacing w:after="200" w:line="276" w:lineRule="auto"/>
        <w:contextualSpacing/>
        <w:rPr>
          <w:sz w:val="22"/>
          <w:szCs w:val="22"/>
        </w:rPr>
      </w:pPr>
      <w:r w:rsidRPr="00876B4D">
        <w:rPr>
          <w:sz w:val="22"/>
          <w:szCs w:val="22"/>
        </w:rPr>
        <w:t>Strive to maintain fairness and internal equity.</w:t>
      </w:r>
    </w:p>
    <w:p w14:paraId="416272C7" w14:textId="77777777" w:rsidR="000038EC" w:rsidRPr="00876B4D" w:rsidRDefault="000038EC" w:rsidP="000038EC">
      <w:pPr>
        <w:numPr>
          <w:ilvl w:val="0"/>
          <w:numId w:val="12"/>
        </w:numPr>
        <w:spacing w:after="200" w:line="276" w:lineRule="auto"/>
        <w:contextualSpacing/>
        <w:rPr>
          <w:sz w:val="22"/>
          <w:szCs w:val="22"/>
        </w:rPr>
      </w:pPr>
      <w:r w:rsidRPr="00876B4D">
        <w:rPr>
          <w:sz w:val="22"/>
          <w:szCs w:val="22"/>
        </w:rPr>
        <w:t>Ensure gender equality for equivalent entry level positions.</w:t>
      </w:r>
    </w:p>
    <w:p w14:paraId="78DA13BB" w14:textId="77777777" w:rsidR="000038EC" w:rsidRPr="00876B4D" w:rsidRDefault="000038EC" w:rsidP="000038EC">
      <w:pPr>
        <w:numPr>
          <w:ilvl w:val="0"/>
          <w:numId w:val="12"/>
        </w:numPr>
        <w:spacing w:after="200" w:line="276" w:lineRule="auto"/>
        <w:contextualSpacing/>
        <w:rPr>
          <w:sz w:val="22"/>
          <w:szCs w:val="22"/>
        </w:rPr>
      </w:pPr>
      <w:r w:rsidRPr="00876B4D">
        <w:rPr>
          <w:sz w:val="22"/>
          <w:szCs w:val="22"/>
        </w:rPr>
        <w:t>Be consistent with PSOM faculty compensation policies.</w:t>
      </w:r>
    </w:p>
    <w:p w14:paraId="6133EC29" w14:textId="77777777" w:rsidR="000038EC" w:rsidRPr="00876B4D" w:rsidRDefault="000038EC" w:rsidP="000038EC">
      <w:pPr>
        <w:rPr>
          <w:sz w:val="22"/>
          <w:szCs w:val="22"/>
        </w:rPr>
      </w:pPr>
    </w:p>
    <w:p w14:paraId="1FF7CB38" w14:textId="77777777" w:rsidR="000038EC" w:rsidRPr="00876B4D" w:rsidRDefault="000038EC" w:rsidP="000038EC">
      <w:pPr>
        <w:rPr>
          <w:b/>
          <w:sz w:val="22"/>
          <w:szCs w:val="22"/>
        </w:rPr>
      </w:pPr>
      <w:r w:rsidRPr="00876B4D">
        <w:rPr>
          <w:b/>
          <w:sz w:val="22"/>
          <w:szCs w:val="22"/>
        </w:rPr>
        <w:t>KEY CHARACTERISTICS:</w:t>
      </w:r>
    </w:p>
    <w:p w14:paraId="003BF385" w14:textId="1C757AC9" w:rsidR="000038EC" w:rsidRPr="00876B4D" w:rsidRDefault="000038EC" w:rsidP="000038EC">
      <w:pPr>
        <w:numPr>
          <w:ilvl w:val="0"/>
          <w:numId w:val="13"/>
        </w:numPr>
        <w:spacing w:after="200" w:line="276" w:lineRule="auto"/>
        <w:contextualSpacing/>
        <w:rPr>
          <w:sz w:val="22"/>
          <w:szCs w:val="22"/>
        </w:rPr>
      </w:pPr>
      <w:r w:rsidRPr="00876B4D">
        <w:rPr>
          <w:sz w:val="22"/>
          <w:szCs w:val="22"/>
        </w:rPr>
        <w:t>Recognizes the integrated missions of patient care, teaching, research, scholarship</w:t>
      </w:r>
      <w:r w:rsidR="00746D32" w:rsidRPr="00876B4D">
        <w:rPr>
          <w:sz w:val="22"/>
          <w:szCs w:val="22"/>
        </w:rPr>
        <w:t>,</w:t>
      </w:r>
      <w:r w:rsidRPr="00876B4D">
        <w:rPr>
          <w:sz w:val="22"/>
          <w:szCs w:val="22"/>
        </w:rPr>
        <w:t xml:space="preserve"> and community service.</w:t>
      </w:r>
    </w:p>
    <w:p w14:paraId="16F9F66F" w14:textId="77777777" w:rsidR="000038EC" w:rsidRPr="00876B4D" w:rsidRDefault="000038EC" w:rsidP="000038EC">
      <w:pPr>
        <w:numPr>
          <w:ilvl w:val="0"/>
          <w:numId w:val="13"/>
        </w:numPr>
        <w:spacing w:after="200" w:line="276" w:lineRule="auto"/>
        <w:contextualSpacing/>
        <w:rPr>
          <w:sz w:val="22"/>
          <w:szCs w:val="22"/>
        </w:rPr>
      </w:pPr>
      <w:r w:rsidRPr="00876B4D">
        <w:rPr>
          <w:sz w:val="22"/>
          <w:szCs w:val="22"/>
        </w:rPr>
        <w:t>Creates incentives that reward high quality clinical and academic productivity and success.</w:t>
      </w:r>
    </w:p>
    <w:p w14:paraId="0A1FA697" w14:textId="6AD111A0" w:rsidR="000038EC" w:rsidRPr="00876B4D" w:rsidRDefault="000038EC" w:rsidP="000038EC">
      <w:pPr>
        <w:numPr>
          <w:ilvl w:val="0"/>
          <w:numId w:val="13"/>
        </w:numPr>
        <w:spacing w:after="200" w:line="276" w:lineRule="auto"/>
        <w:contextualSpacing/>
        <w:rPr>
          <w:sz w:val="22"/>
          <w:szCs w:val="22"/>
        </w:rPr>
      </w:pPr>
      <w:r w:rsidRPr="00876B4D">
        <w:rPr>
          <w:sz w:val="22"/>
          <w:szCs w:val="22"/>
        </w:rPr>
        <w:t xml:space="preserve">Total </w:t>
      </w:r>
      <w:r w:rsidR="008B6B74" w:rsidRPr="00876B4D">
        <w:rPr>
          <w:sz w:val="22"/>
          <w:szCs w:val="22"/>
        </w:rPr>
        <w:t>T</w:t>
      </w:r>
      <w:r w:rsidRPr="00876B4D">
        <w:rPr>
          <w:sz w:val="22"/>
          <w:szCs w:val="22"/>
        </w:rPr>
        <w:t xml:space="preserve">arget </w:t>
      </w:r>
      <w:r w:rsidR="008B6B74" w:rsidRPr="00876B4D">
        <w:rPr>
          <w:sz w:val="22"/>
          <w:szCs w:val="22"/>
        </w:rPr>
        <w:t>C</w:t>
      </w:r>
      <w:r w:rsidRPr="00876B4D">
        <w:rPr>
          <w:sz w:val="22"/>
          <w:szCs w:val="22"/>
        </w:rPr>
        <w:t>ompensation</w:t>
      </w:r>
      <w:r w:rsidR="008B6B74" w:rsidRPr="00876B4D">
        <w:rPr>
          <w:sz w:val="22"/>
          <w:szCs w:val="22"/>
        </w:rPr>
        <w:t xml:space="preserve"> (TTC)</w:t>
      </w:r>
      <w:r w:rsidR="00F1222E" w:rsidRPr="00876B4D">
        <w:rPr>
          <w:sz w:val="22"/>
          <w:szCs w:val="22"/>
        </w:rPr>
        <w:t xml:space="preserve"> for faculty/staff</w:t>
      </w:r>
      <w:r w:rsidRPr="00876B4D">
        <w:rPr>
          <w:sz w:val="22"/>
          <w:szCs w:val="22"/>
        </w:rPr>
        <w:t xml:space="preserve"> </w:t>
      </w:r>
      <w:r w:rsidR="00746D32" w:rsidRPr="00876B4D">
        <w:rPr>
          <w:sz w:val="22"/>
          <w:szCs w:val="22"/>
        </w:rPr>
        <w:t xml:space="preserve">comprises </w:t>
      </w:r>
      <w:r w:rsidRPr="00876B4D">
        <w:rPr>
          <w:sz w:val="22"/>
          <w:szCs w:val="22"/>
        </w:rPr>
        <w:t xml:space="preserve">the following components:  </w:t>
      </w:r>
    </w:p>
    <w:p w14:paraId="4962CDA6" w14:textId="6AB60D18" w:rsidR="00FD3F27" w:rsidRPr="00876B4D" w:rsidRDefault="00FD3F27" w:rsidP="00FD3F27">
      <w:pPr>
        <w:numPr>
          <w:ilvl w:val="1"/>
          <w:numId w:val="13"/>
        </w:numPr>
        <w:spacing w:line="276" w:lineRule="auto"/>
        <w:contextualSpacing/>
        <w:rPr>
          <w:sz w:val="22"/>
          <w:szCs w:val="22"/>
        </w:rPr>
      </w:pPr>
      <w:bookmarkStart w:id="0" w:name="_Hlk122411458"/>
      <w:r w:rsidRPr="00876B4D">
        <w:rPr>
          <w:sz w:val="22"/>
          <w:szCs w:val="22"/>
        </w:rPr>
        <w:t>Base salary</w:t>
      </w:r>
      <w:r w:rsidR="00876B4D" w:rsidRPr="00876B4D">
        <w:rPr>
          <w:sz w:val="22"/>
          <w:szCs w:val="22"/>
        </w:rPr>
        <w:t>: consists</w:t>
      </w:r>
      <w:r w:rsidR="00746D32" w:rsidRPr="00876B4D">
        <w:rPr>
          <w:sz w:val="22"/>
          <w:szCs w:val="22"/>
        </w:rPr>
        <w:t xml:space="preserve"> </w:t>
      </w:r>
      <w:r w:rsidRPr="00876B4D">
        <w:rPr>
          <w:sz w:val="22"/>
          <w:szCs w:val="22"/>
        </w:rPr>
        <w:t>of the academic (University) base</w:t>
      </w:r>
      <w:r w:rsidR="00746D32" w:rsidRPr="00876B4D">
        <w:rPr>
          <w:sz w:val="22"/>
          <w:szCs w:val="22"/>
        </w:rPr>
        <w:t>, set to minimum for rank as defined by the PSOM,</w:t>
      </w:r>
      <w:r w:rsidRPr="00876B4D">
        <w:rPr>
          <w:sz w:val="22"/>
          <w:szCs w:val="22"/>
        </w:rPr>
        <w:t xml:space="preserve"> and a CPUP base salary supplement</w:t>
      </w:r>
      <w:r w:rsidR="00F1222E" w:rsidRPr="00876B4D">
        <w:rPr>
          <w:sz w:val="22"/>
          <w:szCs w:val="22"/>
        </w:rPr>
        <w:t>.</w:t>
      </w:r>
    </w:p>
    <w:p w14:paraId="6E782FC5" w14:textId="05650FDE" w:rsidR="00FD3F27" w:rsidRPr="00876B4D" w:rsidRDefault="00FD3F27" w:rsidP="00FD3F27">
      <w:pPr>
        <w:numPr>
          <w:ilvl w:val="1"/>
          <w:numId w:val="13"/>
        </w:numPr>
        <w:spacing w:line="276" w:lineRule="auto"/>
        <w:contextualSpacing/>
        <w:rPr>
          <w:sz w:val="22"/>
          <w:szCs w:val="22"/>
        </w:rPr>
      </w:pPr>
      <w:r w:rsidRPr="00876B4D">
        <w:rPr>
          <w:sz w:val="22"/>
          <w:szCs w:val="22"/>
        </w:rPr>
        <w:t xml:space="preserve">Incentive </w:t>
      </w:r>
      <w:proofErr w:type="gramStart"/>
      <w:r w:rsidR="00876B4D" w:rsidRPr="00876B4D">
        <w:rPr>
          <w:sz w:val="22"/>
          <w:szCs w:val="22"/>
        </w:rPr>
        <w:t>pay</w:t>
      </w:r>
      <w:r w:rsidR="00876B4D">
        <w:rPr>
          <w:sz w:val="22"/>
          <w:szCs w:val="22"/>
        </w:rPr>
        <w:t>:</w:t>
      </w:r>
      <w:proofErr w:type="gramEnd"/>
      <w:r w:rsidRPr="00876B4D">
        <w:rPr>
          <w:sz w:val="22"/>
          <w:szCs w:val="22"/>
        </w:rPr>
        <w:t> performance-based aligned with expected clinical productivity, clinical and academic goals.</w:t>
      </w:r>
    </w:p>
    <w:p w14:paraId="13CD89F0" w14:textId="77777777" w:rsidR="00FD3F27" w:rsidRPr="00876B4D" w:rsidRDefault="00FD3F27" w:rsidP="00FD3F27">
      <w:pPr>
        <w:numPr>
          <w:ilvl w:val="1"/>
          <w:numId w:val="13"/>
        </w:numPr>
        <w:spacing w:line="276" w:lineRule="auto"/>
        <w:contextualSpacing/>
        <w:rPr>
          <w:sz w:val="22"/>
          <w:szCs w:val="22"/>
        </w:rPr>
      </w:pPr>
      <w:r w:rsidRPr="00876B4D">
        <w:rPr>
          <w:sz w:val="22"/>
          <w:szCs w:val="22"/>
        </w:rPr>
        <w:t xml:space="preserve">Additional pay: for clinical work </w:t>
      </w:r>
      <w:proofErr w:type="gramStart"/>
      <w:r w:rsidRPr="00876B4D">
        <w:rPr>
          <w:sz w:val="22"/>
          <w:szCs w:val="22"/>
        </w:rPr>
        <w:t>in excess of</w:t>
      </w:r>
      <w:proofErr w:type="gramEnd"/>
      <w:r w:rsidRPr="00876B4D">
        <w:rPr>
          <w:sz w:val="22"/>
          <w:szCs w:val="22"/>
        </w:rPr>
        <w:t xml:space="preserve"> </w:t>
      </w:r>
      <w:proofErr w:type="spellStart"/>
      <w:r w:rsidRPr="00876B4D">
        <w:rPr>
          <w:sz w:val="22"/>
          <w:szCs w:val="22"/>
        </w:rPr>
        <w:t>cFTE</w:t>
      </w:r>
      <w:proofErr w:type="spellEnd"/>
      <w:r w:rsidRPr="00876B4D">
        <w:rPr>
          <w:sz w:val="22"/>
          <w:szCs w:val="22"/>
        </w:rPr>
        <w:t xml:space="preserve"> such as moonlighting, additional shifts, weekend or night coverage, etc. </w:t>
      </w:r>
    </w:p>
    <w:p w14:paraId="4F3168EB" w14:textId="5F45DDB4" w:rsidR="00FD3F27" w:rsidRPr="00876B4D" w:rsidRDefault="00FD3F27" w:rsidP="00FD3F27">
      <w:pPr>
        <w:numPr>
          <w:ilvl w:val="1"/>
          <w:numId w:val="13"/>
        </w:numPr>
        <w:spacing w:line="276" w:lineRule="auto"/>
        <w:contextualSpacing/>
        <w:rPr>
          <w:sz w:val="22"/>
          <w:szCs w:val="22"/>
        </w:rPr>
      </w:pPr>
      <w:r w:rsidRPr="00876B4D">
        <w:rPr>
          <w:sz w:val="22"/>
          <w:szCs w:val="22"/>
        </w:rPr>
        <w:t>Administrative stipend: in recognition of administrative roles beyond normal faculty responsibilities in lieu of administrative effort</w:t>
      </w:r>
      <w:r w:rsidR="00320AEA" w:rsidRPr="00876B4D">
        <w:rPr>
          <w:sz w:val="22"/>
          <w:szCs w:val="22"/>
        </w:rPr>
        <w:t xml:space="preserve"> with salary support</w:t>
      </w:r>
      <w:r w:rsidRPr="00876B4D">
        <w:rPr>
          <w:sz w:val="22"/>
          <w:szCs w:val="22"/>
        </w:rPr>
        <w:t>.</w:t>
      </w:r>
    </w:p>
    <w:p w14:paraId="6D6E89BA" w14:textId="57F65A43" w:rsidR="000038EC" w:rsidRPr="00876B4D" w:rsidRDefault="000038EC" w:rsidP="000038EC">
      <w:pPr>
        <w:numPr>
          <w:ilvl w:val="0"/>
          <w:numId w:val="13"/>
        </w:numPr>
        <w:spacing w:after="200" w:line="276" w:lineRule="auto"/>
        <w:contextualSpacing/>
        <w:rPr>
          <w:sz w:val="22"/>
          <w:szCs w:val="22"/>
        </w:rPr>
      </w:pPr>
      <w:r w:rsidRPr="00876B4D">
        <w:rPr>
          <w:sz w:val="22"/>
          <w:szCs w:val="22"/>
        </w:rPr>
        <w:t>Total target compensation</w:t>
      </w:r>
      <w:r w:rsidR="008B6B74" w:rsidRPr="00876B4D">
        <w:rPr>
          <w:sz w:val="22"/>
          <w:szCs w:val="22"/>
        </w:rPr>
        <w:t xml:space="preserve"> (TTC)</w:t>
      </w:r>
      <w:r w:rsidRPr="00876B4D">
        <w:rPr>
          <w:sz w:val="22"/>
          <w:szCs w:val="22"/>
        </w:rPr>
        <w:t xml:space="preserve"> is the same </w:t>
      </w:r>
      <w:r w:rsidR="00F1222E" w:rsidRPr="00876B4D">
        <w:rPr>
          <w:sz w:val="22"/>
          <w:szCs w:val="22"/>
        </w:rPr>
        <w:t xml:space="preserve">and nonnegotiable </w:t>
      </w:r>
      <w:r w:rsidRPr="00876B4D">
        <w:rPr>
          <w:sz w:val="22"/>
          <w:szCs w:val="22"/>
        </w:rPr>
        <w:t>for entry level positions on the same track for new faculty hires in the same discipline</w:t>
      </w:r>
      <w:r w:rsidR="00300A2F" w:rsidRPr="00876B4D">
        <w:rPr>
          <w:sz w:val="22"/>
          <w:szCs w:val="22"/>
        </w:rPr>
        <w:t xml:space="preserve"> performing the same duties and responsibilities (e.g. </w:t>
      </w:r>
      <w:proofErr w:type="spellStart"/>
      <w:r w:rsidR="00300A2F" w:rsidRPr="00876B4D">
        <w:rPr>
          <w:sz w:val="22"/>
          <w:szCs w:val="22"/>
        </w:rPr>
        <w:t>cFTE</w:t>
      </w:r>
      <w:proofErr w:type="spellEnd"/>
      <w:r w:rsidR="00300A2F" w:rsidRPr="00876B4D">
        <w:rPr>
          <w:sz w:val="22"/>
          <w:szCs w:val="22"/>
        </w:rPr>
        <w:t xml:space="preserve"> within same subspecialty).</w:t>
      </w:r>
    </w:p>
    <w:p w14:paraId="7E201EC5" w14:textId="3689429B" w:rsidR="008B6B74" w:rsidRPr="00876B4D" w:rsidRDefault="008B6B74" w:rsidP="008B6B74">
      <w:pPr>
        <w:pStyle w:val="ListParagraph"/>
        <w:numPr>
          <w:ilvl w:val="0"/>
          <w:numId w:val="13"/>
        </w:numPr>
        <w:jc w:val="both"/>
        <w:rPr>
          <w:sz w:val="22"/>
          <w:szCs w:val="22"/>
        </w:rPr>
      </w:pPr>
      <w:r w:rsidRPr="00876B4D">
        <w:rPr>
          <w:sz w:val="22"/>
          <w:szCs w:val="22"/>
        </w:rPr>
        <w:t>Base Salary will be set annually by the Chair based on criteria such as compensation range, specialty, faculty track, rank</w:t>
      </w:r>
      <w:r w:rsidR="00746D32" w:rsidRPr="00876B4D">
        <w:rPr>
          <w:sz w:val="22"/>
          <w:szCs w:val="22"/>
        </w:rPr>
        <w:t>,</w:t>
      </w:r>
      <w:r w:rsidRPr="00876B4D">
        <w:rPr>
          <w:sz w:val="22"/>
          <w:szCs w:val="22"/>
        </w:rPr>
        <w:t xml:space="preserve"> and/or years of service as defined in department’s compensation plan. </w:t>
      </w:r>
    </w:p>
    <w:p w14:paraId="68BB161B" w14:textId="77777777" w:rsidR="008B6B74" w:rsidRPr="00876B4D" w:rsidRDefault="008B6B74" w:rsidP="008B6B74">
      <w:pPr>
        <w:pStyle w:val="ListParagraph"/>
        <w:numPr>
          <w:ilvl w:val="1"/>
          <w:numId w:val="13"/>
        </w:numPr>
        <w:jc w:val="both"/>
        <w:rPr>
          <w:sz w:val="22"/>
          <w:szCs w:val="22"/>
        </w:rPr>
      </w:pPr>
      <w:r w:rsidRPr="00876B4D">
        <w:rPr>
          <w:sz w:val="22"/>
          <w:szCs w:val="22"/>
        </w:rPr>
        <w:t>Base salary is guaranteed for the fiscal year and paid in 12 monthly installments.</w:t>
      </w:r>
    </w:p>
    <w:p w14:paraId="3B798EA7" w14:textId="20F1B08E" w:rsidR="008B6B74" w:rsidRPr="00876B4D" w:rsidRDefault="008B6B74" w:rsidP="008B6B74">
      <w:pPr>
        <w:pStyle w:val="ListParagraph"/>
        <w:numPr>
          <w:ilvl w:val="1"/>
          <w:numId w:val="13"/>
        </w:numPr>
        <w:jc w:val="both"/>
        <w:rPr>
          <w:sz w:val="22"/>
          <w:szCs w:val="22"/>
        </w:rPr>
      </w:pPr>
      <w:r w:rsidRPr="00876B4D">
        <w:rPr>
          <w:sz w:val="22"/>
          <w:szCs w:val="22"/>
        </w:rPr>
        <w:t xml:space="preserve">Base salary </w:t>
      </w:r>
      <w:r w:rsidR="00746D32" w:rsidRPr="00876B4D">
        <w:rPr>
          <w:sz w:val="22"/>
          <w:szCs w:val="22"/>
        </w:rPr>
        <w:t xml:space="preserve">within a given fiscal year </w:t>
      </w:r>
      <w:r w:rsidRPr="00876B4D">
        <w:rPr>
          <w:sz w:val="22"/>
          <w:szCs w:val="22"/>
        </w:rPr>
        <w:t xml:space="preserve">cannot be withheld </w:t>
      </w:r>
      <w:r w:rsidR="00746D32" w:rsidRPr="00876B4D">
        <w:rPr>
          <w:sz w:val="22"/>
          <w:szCs w:val="22"/>
        </w:rPr>
        <w:t xml:space="preserve">or </w:t>
      </w:r>
      <w:r w:rsidRPr="00876B4D">
        <w:rPr>
          <w:sz w:val="22"/>
          <w:szCs w:val="22"/>
        </w:rPr>
        <w:t>placed “at risk”</w:t>
      </w:r>
      <w:r w:rsidR="00746D32" w:rsidRPr="00876B4D">
        <w:rPr>
          <w:sz w:val="22"/>
          <w:szCs w:val="22"/>
        </w:rPr>
        <w:t xml:space="preserve"> (but may be adjusted from year to year)</w:t>
      </w:r>
      <w:r w:rsidRPr="00876B4D">
        <w:rPr>
          <w:sz w:val="22"/>
          <w:szCs w:val="22"/>
        </w:rPr>
        <w:t>.</w:t>
      </w:r>
    </w:p>
    <w:p w14:paraId="70D2A9BC" w14:textId="4C486479" w:rsidR="008B6B74" w:rsidRPr="00876B4D" w:rsidRDefault="008B6B74" w:rsidP="008B6B74">
      <w:pPr>
        <w:pStyle w:val="ListParagraph"/>
        <w:numPr>
          <w:ilvl w:val="1"/>
          <w:numId w:val="13"/>
        </w:numPr>
        <w:jc w:val="both"/>
        <w:rPr>
          <w:sz w:val="22"/>
          <w:szCs w:val="22"/>
        </w:rPr>
      </w:pPr>
      <w:r w:rsidRPr="00876B4D">
        <w:rPr>
          <w:sz w:val="22"/>
          <w:szCs w:val="22"/>
        </w:rPr>
        <w:t xml:space="preserve">Base salary </w:t>
      </w:r>
      <w:r w:rsidR="00300A2F" w:rsidRPr="00876B4D">
        <w:rPr>
          <w:sz w:val="22"/>
          <w:szCs w:val="22"/>
        </w:rPr>
        <w:t xml:space="preserve">typically </w:t>
      </w:r>
      <w:r w:rsidRPr="00876B4D">
        <w:rPr>
          <w:sz w:val="22"/>
          <w:szCs w:val="22"/>
        </w:rPr>
        <w:t>range</w:t>
      </w:r>
      <w:r w:rsidR="00300A2F" w:rsidRPr="00876B4D">
        <w:rPr>
          <w:sz w:val="22"/>
          <w:szCs w:val="22"/>
        </w:rPr>
        <w:t>s</w:t>
      </w:r>
      <w:r w:rsidRPr="00876B4D">
        <w:rPr>
          <w:sz w:val="22"/>
          <w:szCs w:val="22"/>
        </w:rPr>
        <w:t xml:space="preserve"> from</w:t>
      </w:r>
      <w:r w:rsidR="00300A2F" w:rsidRPr="00876B4D">
        <w:rPr>
          <w:sz w:val="22"/>
          <w:szCs w:val="22"/>
        </w:rPr>
        <w:t xml:space="preserve"> 70% </w:t>
      </w:r>
      <w:r w:rsidRPr="00876B4D">
        <w:rPr>
          <w:sz w:val="22"/>
          <w:szCs w:val="22"/>
        </w:rPr>
        <w:t>to 95% of total target compensation inclusive of incentive</w:t>
      </w:r>
      <w:r w:rsidR="00300A2F" w:rsidRPr="00876B4D">
        <w:rPr>
          <w:sz w:val="22"/>
          <w:szCs w:val="22"/>
        </w:rPr>
        <w:t xml:space="preserve"> (but may be set lower for high-performing faculty, </w:t>
      </w:r>
      <w:r w:rsidR="00C34B5E" w:rsidRPr="00876B4D">
        <w:rPr>
          <w:sz w:val="22"/>
          <w:szCs w:val="22"/>
        </w:rPr>
        <w:t>at</w:t>
      </w:r>
      <w:r w:rsidR="00300A2F" w:rsidRPr="00876B4D">
        <w:rPr>
          <w:sz w:val="22"/>
          <w:szCs w:val="22"/>
        </w:rPr>
        <w:t xml:space="preserve"> the discretion of the chair)</w:t>
      </w:r>
      <w:r w:rsidRPr="00876B4D">
        <w:rPr>
          <w:sz w:val="22"/>
          <w:szCs w:val="22"/>
        </w:rPr>
        <w:t>. Faculty in more highly compensated specialties may have lower % base salary and higher % incentive (i.e., 80:20 or 70:30) compared to lower compensated faculty (i.e., 90:10).</w:t>
      </w:r>
    </w:p>
    <w:p w14:paraId="2311B304" w14:textId="12F16982" w:rsidR="001B0BC2" w:rsidRPr="000F4D15" w:rsidRDefault="001B0BC2" w:rsidP="001B0BC2">
      <w:pPr>
        <w:numPr>
          <w:ilvl w:val="1"/>
          <w:numId w:val="13"/>
        </w:numPr>
        <w:shd w:val="clear" w:color="auto" w:fill="FFFFFF"/>
        <w:rPr>
          <w:color w:val="000000"/>
          <w:sz w:val="22"/>
          <w:szCs w:val="22"/>
        </w:rPr>
      </w:pPr>
      <w:r w:rsidRPr="000F4D15">
        <w:rPr>
          <w:color w:val="000000"/>
          <w:sz w:val="22"/>
          <w:szCs w:val="22"/>
        </w:rPr>
        <w:t xml:space="preserve">Base compensation for faculty practicing outside their primary department should be based on the benchmark for each specialty adjusted for </w:t>
      </w:r>
      <w:proofErr w:type="spellStart"/>
      <w:r w:rsidRPr="000F4D15">
        <w:rPr>
          <w:color w:val="000000"/>
          <w:sz w:val="22"/>
          <w:szCs w:val="22"/>
        </w:rPr>
        <w:t>cFTE</w:t>
      </w:r>
      <w:proofErr w:type="spellEnd"/>
      <w:r w:rsidR="00876672" w:rsidRPr="000F4D15">
        <w:rPr>
          <w:color w:val="000000"/>
          <w:sz w:val="22"/>
          <w:szCs w:val="22"/>
        </w:rPr>
        <w:t xml:space="preserve"> and documented in a professional services agreement between the respective departments</w:t>
      </w:r>
      <w:r w:rsidRPr="000F4D15">
        <w:rPr>
          <w:color w:val="000000"/>
          <w:sz w:val="22"/>
          <w:szCs w:val="22"/>
        </w:rPr>
        <w:t xml:space="preserve">. </w:t>
      </w:r>
    </w:p>
    <w:p w14:paraId="7425BF37" w14:textId="0D149367" w:rsidR="001B0BC2" w:rsidRPr="000F4D15" w:rsidRDefault="00876672" w:rsidP="001B0BC2">
      <w:pPr>
        <w:numPr>
          <w:ilvl w:val="2"/>
          <w:numId w:val="13"/>
        </w:numPr>
        <w:shd w:val="clear" w:color="auto" w:fill="FFFFFF"/>
        <w:rPr>
          <w:color w:val="000000"/>
          <w:sz w:val="22"/>
          <w:szCs w:val="22"/>
        </w:rPr>
      </w:pPr>
      <w:r w:rsidRPr="000F4D15">
        <w:rPr>
          <w:color w:val="000000"/>
          <w:sz w:val="22"/>
          <w:szCs w:val="22"/>
        </w:rPr>
        <w:lastRenderedPageBreak/>
        <w:t xml:space="preserve">Compensation for </w:t>
      </w:r>
      <w:r w:rsidR="001B0BC2" w:rsidRPr="000F4D15">
        <w:rPr>
          <w:color w:val="000000"/>
          <w:sz w:val="22"/>
          <w:szCs w:val="22"/>
        </w:rPr>
        <w:t xml:space="preserve">Addiction Medicine </w:t>
      </w:r>
      <w:proofErr w:type="gramStart"/>
      <w:r w:rsidR="001B0BC2" w:rsidRPr="000F4D15">
        <w:rPr>
          <w:color w:val="000000"/>
          <w:sz w:val="22"/>
          <w:szCs w:val="22"/>
        </w:rPr>
        <w:t xml:space="preserve">consult </w:t>
      </w:r>
      <w:r w:rsidRPr="000F4D15">
        <w:rPr>
          <w:color w:val="000000"/>
          <w:sz w:val="22"/>
          <w:szCs w:val="22"/>
        </w:rPr>
        <w:t>attending</w:t>
      </w:r>
      <w:proofErr w:type="gramEnd"/>
      <w:r w:rsidRPr="000F4D15">
        <w:rPr>
          <w:color w:val="000000"/>
          <w:sz w:val="22"/>
          <w:szCs w:val="22"/>
        </w:rPr>
        <w:t xml:space="preserve"> physicians is determined by their primary department.</w:t>
      </w:r>
      <w:r w:rsidR="001B0BC2" w:rsidRPr="000F4D15">
        <w:rPr>
          <w:color w:val="000000"/>
          <w:sz w:val="22"/>
          <w:szCs w:val="22"/>
        </w:rPr>
        <w:t> </w:t>
      </w:r>
    </w:p>
    <w:p w14:paraId="3BA9150B" w14:textId="77777777" w:rsidR="008B6B74" w:rsidRPr="00876B4D" w:rsidRDefault="008B6B74" w:rsidP="006845BB">
      <w:pPr>
        <w:pStyle w:val="ListParagraph"/>
        <w:jc w:val="both"/>
        <w:rPr>
          <w:sz w:val="22"/>
          <w:szCs w:val="22"/>
        </w:rPr>
      </w:pPr>
    </w:p>
    <w:p w14:paraId="04A35D2E" w14:textId="77D01B7A" w:rsidR="006845BB" w:rsidRPr="00876B4D" w:rsidRDefault="008B6B74" w:rsidP="00F23BAE">
      <w:pPr>
        <w:pStyle w:val="ListParagraph"/>
        <w:numPr>
          <w:ilvl w:val="0"/>
          <w:numId w:val="24"/>
        </w:numPr>
        <w:spacing w:after="200"/>
        <w:rPr>
          <w:sz w:val="22"/>
          <w:szCs w:val="22"/>
        </w:rPr>
      </w:pPr>
      <w:r w:rsidRPr="00876B4D">
        <w:rPr>
          <w:sz w:val="22"/>
          <w:szCs w:val="22"/>
        </w:rPr>
        <w:t xml:space="preserve">Target incentive </w:t>
      </w:r>
      <w:r w:rsidR="006845BB" w:rsidRPr="00876B4D">
        <w:rPr>
          <w:sz w:val="22"/>
          <w:szCs w:val="22"/>
        </w:rPr>
        <w:t xml:space="preserve">pay </w:t>
      </w:r>
      <w:r w:rsidR="00C34B5E" w:rsidRPr="00876B4D">
        <w:rPr>
          <w:sz w:val="22"/>
          <w:szCs w:val="22"/>
        </w:rPr>
        <w:t xml:space="preserve">should </w:t>
      </w:r>
      <w:r w:rsidR="001C757F" w:rsidRPr="00876B4D">
        <w:rPr>
          <w:sz w:val="22"/>
          <w:szCs w:val="22"/>
        </w:rPr>
        <w:t xml:space="preserve">not </w:t>
      </w:r>
      <w:r w:rsidR="00C34B5E" w:rsidRPr="00876B4D">
        <w:rPr>
          <w:sz w:val="22"/>
          <w:szCs w:val="22"/>
        </w:rPr>
        <w:t xml:space="preserve">be </w:t>
      </w:r>
      <w:r w:rsidRPr="00876B4D">
        <w:rPr>
          <w:sz w:val="22"/>
          <w:szCs w:val="22"/>
        </w:rPr>
        <w:t xml:space="preserve">set </w:t>
      </w:r>
      <w:r w:rsidR="001C757F" w:rsidRPr="00876B4D">
        <w:rPr>
          <w:sz w:val="22"/>
          <w:szCs w:val="22"/>
        </w:rPr>
        <w:t>below</w:t>
      </w:r>
      <w:r w:rsidRPr="00876B4D">
        <w:rPr>
          <w:sz w:val="22"/>
          <w:szCs w:val="22"/>
        </w:rPr>
        <w:t xml:space="preserve"> 5% of </w:t>
      </w:r>
      <w:r w:rsidR="006845BB" w:rsidRPr="00876B4D">
        <w:rPr>
          <w:sz w:val="22"/>
          <w:szCs w:val="22"/>
        </w:rPr>
        <w:t>TTC</w:t>
      </w:r>
      <w:r w:rsidRPr="00876B4D">
        <w:rPr>
          <w:sz w:val="22"/>
          <w:szCs w:val="22"/>
        </w:rPr>
        <w:t xml:space="preserve"> </w:t>
      </w:r>
      <w:r w:rsidR="006845BB" w:rsidRPr="00876B4D">
        <w:rPr>
          <w:sz w:val="22"/>
          <w:szCs w:val="22"/>
        </w:rPr>
        <w:t xml:space="preserve">and at </w:t>
      </w:r>
      <w:r w:rsidR="001B0BC2" w:rsidRPr="00876B4D">
        <w:rPr>
          <w:sz w:val="22"/>
          <w:szCs w:val="22"/>
        </w:rPr>
        <w:t>least</w:t>
      </w:r>
      <w:r w:rsidR="001C757F" w:rsidRPr="00876B4D">
        <w:rPr>
          <w:sz w:val="22"/>
          <w:szCs w:val="22"/>
        </w:rPr>
        <w:t xml:space="preserve"> </w:t>
      </w:r>
      <w:r w:rsidR="006845BB" w:rsidRPr="00876B4D">
        <w:rPr>
          <w:sz w:val="22"/>
          <w:szCs w:val="22"/>
        </w:rPr>
        <w:t>20% of TTC for more highly compensated specialties</w:t>
      </w:r>
      <w:r w:rsidRPr="00876B4D">
        <w:rPr>
          <w:sz w:val="22"/>
          <w:szCs w:val="22"/>
        </w:rPr>
        <w:t xml:space="preserve">. </w:t>
      </w:r>
    </w:p>
    <w:p w14:paraId="799ACAE3" w14:textId="7A8A38CF" w:rsidR="008B6B74" w:rsidRPr="00876B4D" w:rsidRDefault="008B6B74" w:rsidP="00F23BAE">
      <w:pPr>
        <w:pStyle w:val="ListParagraph"/>
        <w:numPr>
          <w:ilvl w:val="1"/>
          <w:numId w:val="24"/>
        </w:numPr>
        <w:spacing w:after="200"/>
        <w:rPr>
          <w:sz w:val="22"/>
          <w:szCs w:val="22"/>
        </w:rPr>
      </w:pPr>
      <w:r w:rsidRPr="00876B4D">
        <w:rPr>
          <w:sz w:val="22"/>
          <w:szCs w:val="22"/>
        </w:rPr>
        <w:t xml:space="preserve">Incentive may increase as a % of total compensation over time as compensation increases or with a change in track, rank, </w:t>
      </w:r>
      <w:proofErr w:type="spellStart"/>
      <w:r w:rsidRPr="00876B4D">
        <w:rPr>
          <w:sz w:val="22"/>
          <w:szCs w:val="22"/>
        </w:rPr>
        <w:t>cFTE</w:t>
      </w:r>
      <w:proofErr w:type="spellEnd"/>
      <w:r w:rsidRPr="00876B4D">
        <w:rPr>
          <w:sz w:val="22"/>
          <w:szCs w:val="22"/>
        </w:rPr>
        <w:t xml:space="preserve"> or based on achievement of high performance.</w:t>
      </w:r>
    </w:p>
    <w:p w14:paraId="23B24A72" w14:textId="67A2DFBB" w:rsidR="006845BB" w:rsidRPr="00876B4D" w:rsidRDefault="006845BB" w:rsidP="00F23BAE">
      <w:pPr>
        <w:pStyle w:val="ListParagraph"/>
        <w:numPr>
          <w:ilvl w:val="1"/>
          <w:numId w:val="24"/>
        </w:numPr>
        <w:spacing w:after="200"/>
        <w:rPr>
          <w:sz w:val="22"/>
          <w:szCs w:val="22"/>
        </w:rPr>
      </w:pPr>
      <w:r w:rsidRPr="00876B4D">
        <w:rPr>
          <w:sz w:val="22"/>
          <w:szCs w:val="22"/>
        </w:rPr>
        <w:t>Incentive compensation should be pa</w:t>
      </w:r>
      <w:r w:rsidR="009E2B9B" w:rsidRPr="00876B4D">
        <w:rPr>
          <w:sz w:val="22"/>
          <w:szCs w:val="22"/>
        </w:rPr>
        <w:t>i</w:t>
      </w:r>
      <w:r w:rsidRPr="00876B4D">
        <w:rPr>
          <w:sz w:val="22"/>
          <w:szCs w:val="22"/>
        </w:rPr>
        <w:t>d within a reasonable time (i.e., quarterly or semi-annually) after goals are achieved.</w:t>
      </w:r>
    </w:p>
    <w:p w14:paraId="457BF724" w14:textId="77777777" w:rsidR="000038EC" w:rsidRPr="00876B4D" w:rsidRDefault="000038EC" w:rsidP="00F23BAE">
      <w:pPr>
        <w:numPr>
          <w:ilvl w:val="0"/>
          <w:numId w:val="13"/>
        </w:numPr>
        <w:spacing w:after="200"/>
        <w:contextualSpacing/>
        <w:rPr>
          <w:sz w:val="22"/>
          <w:szCs w:val="22"/>
        </w:rPr>
      </w:pPr>
      <w:bookmarkStart w:id="1" w:name="_Hlk122411511"/>
      <w:bookmarkEnd w:id="0"/>
      <w:r w:rsidRPr="00876B4D">
        <w:rPr>
          <w:sz w:val="22"/>
          <w:szCs w:val="22"/>
        </w:rPr>
        <w:t>Establishes clear employment and eligibility requirements for receipt of incentive compensation, and/or adjustments to productivity or clinical effort (</w:t>
      </w:r>
      <w:proofErr w:type="spellStart"/>
      <w:r w:rsidRPr="00876B4D">
        <w:rPr>
          <w:sz w:val="22"/>
          <w:szCs w:val="22"/>
        </w:rPr>
        <w:t>cFTE</w:t>
      </w:r>
      <w:proofErr w:type="spellEnd"/>
      <w:r w:rsidRPr="00876B4D">
        <w:rPr>
          <w:sz w:val="22"/>
          <w:szCs w:val="22"/>
        </w:rPr>
        <w:t>) during sabbatical, voluntary leave of absence, leave from clinical activity, or time to support lactation.</w:t>
      </w:r>
    </w:p>
    <w:bookmarkEnd w:id="1"/>
    <w:p w14:paraId="3FC4E8C2" w14:textId="77777777" w:rsidR="000038EC" w:rsidRPr="00876B4D" w:rsidRDefault="000038EC" w:rsidP="000038EC">
      <w:pPr>
        <w:rPr>
          <w:b/>
          <w:sz w:val="22"/>
          <w:szCs w:val="22"/>
        </w:rPr>
      </w:pPr>
    </w:p>
    <w:p w14:paraId="00223BAA" w14:textId="77777777" w:rsidR="000038EC" w:rsidRPr="00876B4D" w:rsidRDefault="000038EC" w:rsidP="000038EC">
      <w:pPr>
        <w:rPr>
          <w:b/>
          <w:sz w:val="22"/>
          <w:szCs w:val="22"/>
        </w:rPr>
      </w:pPr>
      <w:r w:rsidRPr="00876B4D">
        <w:rPr>
          <w:b/>
          <w:sz w:val="22"/>
          <w:szCs w:val="22"/>
        </w:rPr>
        <w:t>GOALS:</w:t>
      </w:r>
    </w:p>
    <w:p w14:paraId="3C578C6D" w14:textId="77777777" w:rsidR="000038EC" w:rsidRPr="00876B4D" w:rsidRDefault="000038EC" w:rsidP="000038EC">
      <w:pPr>
        <w:numPr>
          <w:ilvl w:val="0"/>
          <w:numId w:val="8"/>
        </w:numPr>
        <w:jc w:val="both"/>
        <w:rPr>
          <w:sz w:val="22"/>
          <w:szCs w:val="22"/>
        </w:rPr>
      </w:pPr>
      <w:r w:rsidRPr="00876B4D">
        <w:rPr>
          <w:sz w:val="22"/>
          <w:szCs w:val="22"/>
        </w:rPr>
        <w:t>Ensure compensation methodology is easily understood by all participants.</w:t>
      </w:r>
    </w:p>
    <w:p w14:paraId="05B2F6C3" w14:textId="77777777" w:rsidR="000038EC" w:rsidRPr="00876B4D" w:rsidRDefault="000038EC" w:rsidP="000038EC">
      <w:pPr>
        <w:numPr>
          <w:ilvl w:val="0"/>
          <w:numId w:val="8"/>
        </w:numPr>
        <w:jc w:val="both"/>
        <w:rPr>
          <w:sz w:val="22"/>
          <w:szCs w:val="22"/>
        </w:rPr>
      </w:pPr>
      <w:r w:rsidRPr="00876B4D">
        <w:rPr>
          <w:sz w:val="22"/>
          <w:szCs w:val="22"/>
        </w:rPr>
        <w:t>Clarify expectations and enhance communication between leadership and faculty members to strengthen the link between compensation and faculty productivity.</w:t>
      </w:r>
    </w:p>
    <w:p w14:paraId="3DB14B71" w14:textId="77777777" w:rsidR="000038EC" w:rsidRPr="00876B4D" w:rsidRDefault="000038EC" w:rsidP="000038EC">
      <w:pPr>
        <w:numPr>
          <w:ilvl w:val="0"/>
          <w:numId w:val="8"/>
        </w:numPr>
        <w:jc w:val="both"/>
        <w:rPr>
          <w:sz w:val="22"/>
          <w:szCs w:val="22"/>
        </w:rPr>
      </w:pPr>
      <w:r w:rsidRPr="00876B4D">
        <w:rPr>
          <w:sz w:val="22"/>
          <w:szCs w:val="22"/>
        </w:rPr>
        <w:t>Provide faculty with compensation that is competitive and enables the department to recruit and retain excellent faculty yet is consistent with the department’s financial performance and resources.</w:t>
      </w:r>
    </w:p>
    <w:p w14:paraId="55A7F528" w14:textId="77777777" w:rsidR="000038EC" w:rsidRPr="00876B4D" w:rsidRDefault="000038EC" w:rsidP="000038EC">
      <w:pPr>
        <w:numPr>
          <w:ilvl w:val="0"/>
          <w:numId w:val="8"/>
        </w:numPr>
        <w:jc w:val="both"/>
        <w:rPr>
          <w:sz w:val="22"/>
          <w:szCs w:val="22"/>
        </w:rPr>
      </w:pPr>
      <w:r w:rsidRPr="00876B4D">
        <w:rPr>
          <w:sz w:val="22"/>
          <w:szCs w:val="22"/>
        </w:rPr>
        <w:t>Provide performance-based compensation which rewards faculty based on track and recognize and reward clinical productivity and funded research.</w:t>
      </w:r>
    </w:p>
    <w:p w14:paraId="2774E7D5" w14:textId="77777777" w:rsidR="000038EC" w:rsidRPr="00876B4D" w:rsidRDefault="000038EC" w:rsidP="000038EC">
      <w:pPr>
        <w:numPr>
          <w:ilvl w:val="0"/>
          <w:numId w:val="8"/>
        </w:numPr>
        <w:jc w:val="both"/>
        <w:rPr>
          <w:sz w:val="22"/>
          <w:szCs w:val="22"/>
        </w:rPr>
      </w:pPr>
      <w:r w:rsidRPr="00876B4D">
        <w:rPr>
          <w:sz w:val="22"/>
          <w:szCs w:val="22"/>
        </w:rPr>
        <w:t>Align compensation with each faculty member’s academic plan to ensure that we reward productivity across all missions.</w:t>
      </w:r>
    </w:p>
    <w:p w14:paraId="4AEEAA39" w14:textId="77777777" w:rsidR="000038EC" w:rsidRPr="00876B4D" w:rsidRDefault="000038EC" w:rsidP="000038EC">
      <w:pPr>
        <w:numPr>
          <w:ilvl w:val="0"/>
          <w:numId w:val="8"/>
        </w:numPr>
        <w:jc w:val="both"/>
        <w:rPr>
          <w:sz w:val="22"/>
          <w:szCs w:val="22"/>
        </w:rPr>
      </w:pPr>
      <w:bookmarkStart w:id="2" w:name="_Hlk126651764"/>
      <w:r w:rsidRPr="00876B4D">
        <w:rPr>
          <w:sz w:val="22"/>
          <w:szCs w:val="22"/>
        </w:rPr>
        <w:t>Review faculty compensation against benchmarks annually to ensure gender equity based on track, rank, responsibilities, and productivity.</w:t>
      </w:r>
    </w:p>
    <w:bookmarkEnd w:id="2"/>
    <w:p w14:paraId="4105305D" w14:textId="77777777" w:rsidR="000038EC" w:rsidRPr="00876B4D" w:rsidRDefault="000038EC" w:rsidP="000038EC">
      <w:pPr>
        <w:jc w:val="both"/>
        <w:rPr>
          <w:b/>
          <w:sz w:val="22"/>
          <w:szCs w:val="22"/>
        </w:rPr>
      </w:pPr>
    </w:p>
    <w:p w14:paraId="1CD15C7A" w14:textId="7CF65850" w:rsidR="000038EC" w:rsidRPr="00876B4D" w:rsidRDefault="000038EC" w:rsidP="000038EC">
      <w:pPr>
        <w:jc w:val="both"/>
        <w:rPr>
          <w:b/>
          <w:sz w:val="22"/>
          <w:szCs w:val="22"/>
        </w:rPr>
      </w:pPr>
      <w:r w:rsidRPr="00876B4D">
        <w:rPr>
          <w:b/>
          <w:sz w:val="22"/>
          <w:szCs w:val="22"/>
        </w:rPr>
        <w:t>COMPONENTS OF TOTAL COMPENSATION</w:t>
      </w:r>
    </w:p>
    <w:p w14:paraId="6B5FDE41" w14:textId="31770183" w:rsidR="00FD3F27" w:rsidRPr="00876B4D" w:rsidRDefault="000038EC" w:rsidP="000038EC">
      <w:pPr>
        <w:rPr>
          <w:sz w:val="22"/>
          <w:szCs w:val="22"/>
        </w:rPr>
      </w:pPr>
      <w:r w:rsidRPr="00876B4D">
        <w:rPr>
          <w:sz w:val="22"/>
          <w:szCs w:val="22"/>
        </w:rPr>
        <w:t xml:space="preserve">Under the Compensation Plan, a faculty member’s </w:t>
      </w:r>
      <w:r w:rsidR="00826341" w:rsidRPr="00876B4D">
        <w:rPr>
          <w:sz w:val="22"/>
          <w:szCs w:val="22"/>
        </w:rPr>
        <w:t>T</w:t>
      </w:r>
      <w:r w:rsidRPr="00876B4D">
        <w:rPr>
          <w:sz w:val="22"/>
          <w:szCs w:val="22"/>
        </w:rPr>
        <w:t xml:space="preserve">otal </w:t>
      </w:r>
      <w:r w:rsidR="00826341" w:rsidRPr="00876B4D">
        <w:rPr>
          <w:sz w:val="22"/>
          <w:szCs w:val="22"/>
        </w:rPr>
        <w:t>Target C</w:t>
      </w:r>
      <w:r w:rsidRPr="00876B4D">
        <w:rPr>
          <w:sz w:val="22"/>
          <w:szCs w:val="22"/>
        </w:rPr>
        <w:t xml:space="preserve">ompensation </w:t>
      </w:r>
      <w:r w:rsidR="00826341" w:rsidRPr="00876B4D">
        <w:rPr>
          <w:sz w:val="22"/>
          <w:szCs w:val="22"/>
        </w:rPr>
        <w:t xml:space="preserve">(TTC) </w:t>
      </w:r>
      <w:r w:rsidRPr="00876B4D">
        <w:rPr>
          <w:sz w:val="22"/>
          <w:szCs w:val="22"/>
        </w:rPr>
        <w:t xml:space="preserve">shall be the sum of the (1) Total Base Salary (which includes any Academic Base or Faculty or Staff Salary and Base Salary Supplement); (2) Incentive </w:t>
      </w:r>
      <w:r w:rsidR="00681390" w:rsidRPr="00876B4D">
        <w:rPr>
          <w:sz w:val="22"/>
          <w:szCs w:val="22"/>
        </w:rPr>
        <w:t>Pay</w:t>
      </w:r>
      <w:r w:rsidRPr="00876B4D">
        <w:rPr>
          <w:sz w:val="22"/>
          <w:szCs w:val="22"/>
        </w:rPr>
        <w:t xml:space="preserve">; (3) </w:t>
      </w:r>
      <w:r w:rsidR="00FD3F27" w:rsidRPr="00876B4D">
        <w:rPr>
          <w:sz w:val="22"/>
          <w:szCs w:val="22"/>
        </w:rPr>
        <w:t>any Additional Pay for clinical work in excess of clinical effort</w:t>
      </w:r>
      <w:r w:rsidR="00681390" w:rsidRPr="00876B4D">
        <w:rPr>
          <w:sz w:val="22"/>
          <w:szCs w:val="22"/>
        </w:rPr>
        <w:t>; (4) Administrative Stipend (if any)</w:t>
      </w:r>
    </w:p>
    <w:p w14:paraId="078BB2FD" w14:textId="77777777" w:rsidR="00FD3F27" w:rsidRPr="00876B4D" w:rsidRDefault="00FD3F27" w:rsidP="000038EC">
      <w:pPr>
        <w:rPr>
          <w:sz w:val="22"/>
          <w:szCs w:val="22"/>
        </w:rPr>
      </w:pPr>
    </w:p>
    <w:p w14:paraId="26D566E6" w14:textId="0074A67D" w:rsidR="000038EC" w:rsidRPr="00876B4D" w:rsidRDefault="00FD3F27" w:rsidP="000038EC">
      <w:pPr>
        <w:rPr>
          <w:sz w:val="22"/>
          <w:szCs w:val="22"/>
        </w:rPr>
      </w:pPr>
      <w:r w:rsidRPr="00876B4D">
        <w:rPr>
          <w:sz w:val="22"/>
          <w:szCs w:val="22"/>
        </w:rPr>
        <w:t xml:space="preserve">In </w:t>
      </w:r>
      <w:r w:rsidR="000038EC" w:rsidRPr="00876B4D">
        <w:rPr>
          <w:sz w:val="22"/>
          <w:szCs w:val="22"/>
        </w:rPr>
        <w:t>addition, a faculty member may be entitled to certain fringe benefits, such as professional expense allowance and any other special allowances.  Each faculty member should understand that his/her total target and fringe benefits, as well as other practice and academic costs, are covered by operating revenue.</w:t>
      </w:r>
    </w:p>
    <w:p w14:paraId="537D94AE" w14:textId="13BDA776" w:rsidR="00B372FA" w:rsidRPr="00876B4D" w:rsidRDefault="00B372FA" w:rsidP="000038EC">
      <w:pPr>
        <w:rPr>
          <w:sz w:val="22"/>
          <w:szCs w:val="22"/>
        </w:rPr>
      </w:pPr>
    </w:p>
    <w:p w14:paraId="6DCE21F2" w14:textId="7F01385F" w:rsidR="00B372FA" w:rsidRPr="00876B4D" w:rsidRDefault="00B372FA" w:rsidP="00B372FA">
      <w:pPr>
        <w:pStyle w:val="ListParagraph"/>
        <w:numPr>
          <w:ilvl w:val="0"/>
          <w:numId w:val="28"/>
        </w:numPr>
        <w:rPr>
          <w:b/>
          <w:sz w:val="22"/>
          <w:szCs w:val="22"/>
        </w:rPr>
      </w:pPr>
      <w:r w:rsidRPr="00876B4D">
        <w:rPr>
          <w:b/>
          <w:sz w:val="22"/>
          <w:szCs w:val="22"/>
        </w:rPr>
        <w:t>Base Salary</w:t>
      </w:r>
    </w:p>
    <w:p w14:paraId="34BF46F8" w14:textId="29127289" w:rsidR="005753AA" w:rsidRPr="00876B4D" w:rsidRDefault="005753AA" w:rsidP="000038EC">
      <w:pPr>
        <w:rPr>
          <w:sz w:val="22"/>
          <w:szCs w:val="22"/>
        </w:rPr>
      </w:pPr>
    </w:p>
    <w:p w14:paraId="0CE13ABD" w14:textId="50871378" w:rsidR="00C47870" w:rsidRPr="00876B4D" w:rsidRDefault="00C47870" w:rsidP="00C47870">
      <w:pPr>
        <w:jc w:val="both"/>
        <w:rPr>
          <w:sz w:val="22"/>
          <w:szCs w:val="22"/>
        </w:rPr>
      </w:pPr>
      <w:r w:rsidRPr="00876B4D">
        <w:rPr>
          <w:b/>
          <w:sz w:val="22"/>
          <w:szCs w:val="22"/>
        </w:rPr>
        <w:t>Total Base Salary</w:t>
      </w:r>
      <w:r w:rsidR="00876B4D" w:rsidRPr="00876B4D">
        <w:rPr>
          <w:b/>
          <w:sz w:val="22"/>
          <w:szCs w:val="22"/>
        </w:rPr>
        <w:t>: Total</w:t>
      </w:r>
      <w:r w:rsidRPr="00876B4D">
        <w:rPr>
          <w:sz w:val="22"/>
          <w:szCs w:val="22"/>
        </w:rPr>
        <w:t xml:space="preserve"> Base Salary is the sum of (i) any Academic Base (for Standing Faculty), Faculty Salary (for Academic Clinicians), or Staff Salary (for Penn Medicine Clinicians), plus (ii) the Base Salary Supplement.  </w:t>
      </w:r>
    </w:p>
    <w:p w14:paraId="3D3A8938" w14:textId="77777777" w:rsidR="00C47870" w:rsidRPr="00876B4D" w:rsidRDefault="00C47870" w:rsidP="00C47870">
      <w:pPr>
        <w:jc w:val="both"/>
        <w:rPr>
          <w:sz w:val="22"/>
          <w:szCs w:val="22"/>
        </w:rPr>
      </w:pPr>
    </w:p>
    <w:p w14:paraId="51F1C3A7" w14:textId="71980088" w:rsidR="005753AA" w:rsidRPr="00876B4D" w:rsidRDefault="005753AA" w:rsidP="00C47870">
      <w:pPr>
        <w:pStyle w:val="ListParagraph"/>
        <w:numPr>
          <w:ilvl w:val="0"/>
          <w:numId w:val="29"/>
        </w:numPr>
        <w:jc w:val="both"/>
        <w:rPr>
          <w:sz w:val="22"/>
          <w:szCs w:val="22"/>
        </w:rPr>
      </w:pPr>
      <w:r w:rsidRPr="00876B4D">
        <w:rPr>
          <w:b/>
          <w:sz w:val="22"/>
          <w:szCs w:val="22"/>
        </w:rPr>
        <w:t>Academic Base/Faculty Salary/Staff Salary</w:t>
      </w:r>
      <w:r w:rsidR="00876B4D" w:rsidRPr="00876B4D">
        <w:rPr>
          <w:b/>
          <w:sz w:val="22"/>
          <w:szCs w:val="22"/>
        </w:rPr>
        <w:t>:</w:t>
      </w:r>
      <w:r w:rsidR="00876B4D" w:rsidRPr="00876B4D">
        <w:rPr>
          <w:bCs/>
          <w:sz w:val="22"/>
          <w:szCs w:val="22"/>
        </w:rPr>
        <w:t xml:space="preserve"> For</w:t>
      </w:r>
      <w:r w:rsidRPr="00876B4D">
        <w:rPr>
          <w:sz w:val="22"/>
          <w:szCs w:val="22"/>
        </w:rPr>
        <w:t xml:space="preserve"> </w:t>
      </w:r>
      <w:r w:rsidR="00746D32" w:rsidRPr="00876B4D">
        <w:rPr>
          <w:sz w:val="22"/>
          <w:szCs w:val="22"/>
        </w:rPr>
        <w:t xml:space="preserve">all CPUP </w:t>
      </w:r>
      <w:r w:rsidRPr="00876B4D">
        <w:rPr>
          <w:sz w:val="22"/>
          <w:szCs w:val="22"/>
        </w:rPr>
        <w:t>members</w:t>
      </w:r>
      <w:r w:rsidR="00746D32" w:rsidRPr="00876B4D">
        <w:rPr>
          <w:sz w:val="22"/>
          <w:szCs w:val="22"/>
        </w:rPr>
        <w:t xml:space="preserve">, </w:t>
      </w:r>
      <w:r w:rsidRPr="00876B4D">
        <w:rPr>
          <w:sz w:val="22"/>
          <w:szCs w:val="22"/>
        </w:rPr>
        <w:t>Academic Base</w:t>
      </w:r>
      <w:r w:rsidR="00746D32" w:rsidRPr="00876B4D">
        <w:rPr>
          <w:sz w:val="22"/>
          <w:szCs w:val="22"/>
        </w:rPr>
        <w:t xml:space="preserve"> (in the case of standing faculty), Faculty Salary (in the case of Academic Clinicians), or Staff Salary</w:t>
      </w:r>
      <w:r w:rsidRPr="00876B4D">
        <w:rPr>
          <w:sz w:val="22"/>
          <w:szCs w:val="22"/>
        </w:rPr>
        <w:t xml:space="preserve"> </w:t>
      </w:r>
      <w:r w:rsidR="00746D32" w:rsidRPr="00876B4D">
        <w:rPr>
          <w:sz w:val="22"/>
          <w:szCs w:val="22"/>
        </w:rPr>
        <w:t xml:space="preserve">(in the case of PMCs) </w:t>
      </w:r>
      <w:r w:rsidRPr="00876B4D">
        <w:rPr>
          <w:sz w:val="22"/>
          <w:szCs w:val="22"/>
        </w:rPr>
        <w:t xml:space="preserve">is set as the minimum salary for the rank, as defined annually by the Perelman School of Medicine (PSOM).  Once a Faculty member’s Academic Base or Faculty Salary is established according to these guidelines, all future increases to that Faculty member’s base salary (except adjustments to the minimum for rank, upon promotion) will be added to the Base Salary Supplement.  </w:t>
      </w:r>
    </w:p>
    <w:p w14:paraId="42EBAEE4" w14:textId="77777777" w:rsidR="005753AA" w:rsidRPr="00876B4D" w:rsidRDefault="005753AA" w:rsidP="005753AA">
      <w:pPr>
        <w:ind w:left="720" w:firstLine="720"/>
        <w:jc w:val="both"/>
        <w:rPr>
          <w:sz w:val="22"/>
          <w:szCs w:val="22"/>
        </w:rPr>
      </w:pPr>
    </w:p>
    <w:p w14:paraId="66A136C5" w14:textId="7E7DAB73" w:rsidR="005753AA" w:rsidRPr="00876B4D" w:rsidRDefault="00746D32" w:rsidP="00C47870">
      <w:pPr>
        <w:ind w:left="1080"/>
        <w:jc w:val="both"/>
        <w:rPr>
          <w:sz w:val="22"/>
          <w:szCs w:val="22"/>
        </w:rPr>
      </w:pPr>
      <w:r w:rsidRPr="00876B4D">
        <w:rPr>
          <w:sz w:val="22"/>
          <w:szCs w:val="22"/>
        </w:rPr>
        <w:t xml:space="preserve">For all CPUP members, Departments will pay through </w:t>
      </w:r>
      <w:proofErr w:type="gramStart"/>
      <w:r w:rsidRPr="00876B4D">
        <w:rPr>
          <w:sz w:val="22"/>
          <w:szCs w:val="22"/>
        </w:rPr>
        <w:t>University</w:t>
      </w:r>
      <w:proofErr w:type="gramEnd"/>
      <w:r w:rsidRPr="00876B4D">
        <w:rPr>
          <w:sz w:val="22"/>
          <w:szCs w:val="22"/>
        </w:rPr>
        <w:t xml:space="preserve"> payroll (i.e. subject to the full EB rate set by the University) salary up to </w:t>
      </w:r>
      <w:r w:rsidR="005753AA" w:rsidRPr="00876B4D">
        <w:rPr>
          <w:sz w:val="22"/>
          <w:szCs w:val="22"/>
        </w:rPr>
        <w:t>the FICA limit set by the IRS.</w:t>
      </w:r>
      <w:r w:rsidRPr="00876B4D">
        <w:rPr>
          <w:sz w:val="22"/>
          <w:szCs w:val="22"/>
        </w:rPr>
        <w:t xml:space="preserve">  This will determine the member’s “benefits base” used for </w:t>
      </w:r>
      <w:proofErr w:type="gramStart"/>
      <w:r w:rsidRPr="00876B4D">
        <w:rPr>
          <w:sz w:val="22"/>
          <w:szCs w:val="22"/>
        </w:rPr>
        <w:t>University</w:t>
      </w:r>
      <w:proofErr w:type="gramEnd"/>
      <w:r w:rsidRPr="00876B4D">
        <w:rPr>
          <w:sz w:val="22"/>
          <w:szCs w:val="22"/>
        </w:rPr>
        <w:t xml:space="preserve"> salary-determined benefits (e.g. basic life insurance).</w:t>
      </w:r>
    </w:p>
    <w:p w14:paraId="51BF0A84" w14:textId="77777777" w:rsidR="005753AA" w:rsidRPr="00876B4D" w:rsidRDefault="005753AA" w:rsidP="005753AA">
      <w:pPr>
        <w:jc w:val="both"/>
        <w:rPr>
          <w:b/>
          <w:sz w:val="22"/>
          <w:szCs w:val="22"/>
        </w:rPr>
      </w:pPr>
    </w:p>
    <w:p w14:paraId="290359D3" w14:textId="10421BCC" w:rsidR="005753AA" w:rsidRPr="00876B4D" w:rsidRDefault="005753AA" w:rsidP="001C757F">
      <w:pPr>
        <w:pStyle w:val="ListParagraph"/>
        <w:numPr>
          <w:ilvl w:val="0"/>
          <w:numId w:val="29"/>
        </w:numPr>
        <w:jc w:val="both"/>
        <w:rPr>
          <w:color w:val="FF0000"/>
          <w:sz w:val="22"/>
          <w:szCs w:val="22"/>
        </w:rPr>
      </w:pPr>
      <w:r w:rsidRPr="00876B4D">
        <w:rPr>
          <w:b/>
          <w:sz w:val="22"/>
          <w:szCs w:val="22"/>
        </w:rPr>
        <w:t>Base Salary Supplement</w:t>
      </w:r>
      <w:r w:rsidR="00876B4D" w:rsidRPr="00876B4D">
        <w:rPr>
          <w:b/>
          <w:sz w:val="22"/>
          <w:szCs w:val="22"/>
        </w:rPr>
        <w:t>:</w:t>
      </w:r>
      <w:r w:rsidR="00876B4D" w:rsidRPr="00876B4D">
        <w:rPr>
          <w:sz w:val="22"/>
          <w:szCs w:val="22"/>
        </w:rPr>
        <w:t xml:space="preserve"> The</w:t>
      </w:r>
      <w:r w:rsidRPr="00876B4D">
        <w:rPr>
          <w:sz w:val="22"/>
          <w:szCs w:val="22"/>
        </w:rPr>
        <w:t xml:space="preserve"> Base Salary Supplement is recommended by the Chair of the Department, and is influenced by several factors, including academic track and rank, years in rank, specialty, relevant compensation surveys and other factors, including, but not limited to, duty assignments and individual performance.  It is the intention that the Total Base Salary </w:t>
      </w:r>
      <w:proofErr w:type="gramStart"/>
      <w:r w:rsidRPr="00876B4D">
        <w:rPr>
          <w:sz w:val="22"/>
          <w:szCs w:val="22"/>
        </w:rPr>
        <w:t>incorporate</w:t>
      </w:r>
      <w:proofErr w:type="gramEnd"/>
      <w:r w:rsidRPr="00876B4D">
        <w:rPr>
          <w:sz w:val="22"/>
          <w:szCs w:val="22"/>
        </w:rPr>
        <w:t xml:space="preserve"> national and regional compensation and productivity data and </w:t>
      </w:r>
      <w:proofErr w:type="gramStart"/>
      <w:r w:rsidRPr="00876B4D">
        <w:rPr>
          <w:sz w:val="22"/>
          <w:szCs w:val="22"/>
        </w:rPr>
        <w:t>shall</w:t>
      </w:r>
      <w:proofErr w:type="gramEnd"/>
      <w:r w:rsidRPr="00876B4D">
        <w:rPr>
          <w:sz w:val="22"/>
          <w:szCs w:val="22"/>
        </w:rPr>
        <w:t xml:space="preserve"> position the Department to remain in a </w:t>
      </w:r>
      <w:proofErr w:type="gramStart"/>
      <w:r w:rsidRPr="00876B4D">
        <w:rPr>
          <w:sz w:val="22"/>
          <w:szCs w:val="22"/>
        </w:rPr>
        <w:t>market competitive</w:t>
      </w:r>
      <w:proofErr w:type="gramEnd"/>
      <w:r w:rsidRPr="00876B4D">
        <w:rPr>
          <w:sz w:val="22"/>
          <w:szCs w:val="22"/>
        </w:rPr>
        <w:t xml:space="preserve"> position.  </w:t>
      </w:r>
    </w:p>
    <w:p w14:paraId="63D95055" w14:textId="77777777" w:rsidR="000038EC" w:rsidRPr="00876B4D" w:rsidRDefault="000038EC" w:rsidP="000038EC">
      <w:pPr>
        <w:rPr>
          <w:sz w:val="22"/>
          <w:szCs w:val="22"/>
        </w:rPr>
      </w:pPr>
    </w:p>
    <w:p w14:paraId="2C594178" w14:textId="77C353FA" w:rsidR="008B6B74" w:rsidRPr="00876B4D" w:rsidRDefault="000038EC" w:rsidP="00FD3F27">
      <w:pPr>
        <w:jc w:val="both"/>
        <w:rPr>
          <w:sz w:val="22"/>
          <w:szCs w:val="22"/>
        </w:rPr>
      </w:pPr>
      <w:r w:rsidRPr="00876B4D">
        <w:rPr>
          <w:b/>
          <w:sz w:val="22"/>
          <w:szCs w:val="22"/>
        </w:rPr>
        <w:t xml:space="preserve">Total Base Salary:  </w:t>
      </w:r>
    </w:p>
    <w:p w14:paraId="32A60B74" w14:textId="77777777" w:rsidR="00FD3F27" w:rsidRPr="00876B4D" w:rsidRDefault="000038EC" w:rsidP="00FD3F27">
      <w:pPr>
        <w:pStyle w:val="ListParagraph"/>
        <w:numPr>
          <w:ilvl w:val="0"/>
          <w:numId w:val="21"/>
        </w:numPr>
        <w:jc w:val="both"/>
        <w:rPr>
          <w:sz w:val="22"/>
          <w:szCs w:val="22"/>
        </w:rPr>
      </w:pPr>
      <w:r w:rsidRPr="00876B4D">
        <w:rPr>
          <w:sz w:val="22"/>
          <w:szCs w:val="22"/>
        </w:rPr>
        <w:t xml:space="preserve">Total Base Salary components are fixed for the year and paid </w:t>
      </w:r>
      <w:proofErr w:type="gramStart"/>
      <w:r w:rsidRPr="00876B4D">
        <w:rPr>
          <w:sz w:val="22"/>
          <w:szCs w:val="22"/>
        </w:rPr>
        <w:t>in</w:t>
      </w:r>
      <w:proofErr w:type="gramEnd"/>
      <w:r w:rsidRPr="00876B4D">
        <w:rPr>
          <w:sz w:val="22"/>
          <w:szCs w:val="22"/>
        </w:rPr>
        <w:t xml:space="preserve"> equal monthly installments as part of the University’s regular monthly payroll cycle.  </w:t>
      </w:r>
    </w:p>
    <w:p w14:paraId="6C55243C" w14:textId="77777777" w:rsidR="00126663" w:rsidRPr="00876B4D" w:rsidRDefault="00FD3F27" w:rsidP="00126663">
      <w:pPr>
        <w:pStyle w:val="ListParagraph"/>
        <w:numPr>
          <w:ilvl w:val="0"/>
          <w:numId w:val="21"/>
        </w:numPr>
        <w:jc w:val="both"/>
        <w:rPr>
          <w:sz w:val="22"/>
          <w:szCs w:val="22"/>
        </w:rPr>
      </w:pPr>
      <w:r w:rsidRPr="00876B4D">
        <w:rPr>
          <w:sz w:val="22"/>
          <w:szCs w:val="22"/>
        </w:rPr>
        <w:t>Total Base Salary cannot be withheld.</w:t>
      </w:r>
    </w:p>
    <w:p w14:paraId="5B237A90" w14:textId="4CCA045A" w:rsidR="00F23BAE" w:rsidRPr="00876B4D" w:rsidRDefault="000038EC" w:rsidP="00F23BAE">
      <w:pPr>
        <w:pStyle w:val="ListParagraph"/>
        <w:numPr>
          <w:ilvl w:val="0"/>
          <w:numId w:val="13"/>
        </w:numPr>
        <w:jc w:val="both"/>
        <w:rPr>
          <w:sz w:val="22"/>
          <w:szCs w:val="22"/>
        </w:rPr>
      </w:pPr>
      <w:r w:rsidRPr="00876B4D">
        <w:rPr>
          <w:sz w:val="22"/>
          <w:szCs w:val="22"/>
        </w:rPr>
        <w:t>Total Base Salary</w:t>
      </w:r>
      <w:r w:rsidR="00126663" w:rsidRPr="00876B4D">
        <w:rPr>
          <w:sz w:val="22"/>
          <w:szCs w:val="22"/>
        </w:rPr>
        <w:t xml:space="preserve"> as a percentage of </w:t>
      </w:r>
      <w:r w:rsidR="00826341" w:rsidRPr="00876B4D">
        <w:rPr>
          <w:sz w:val="22"/>
          <w:szCs w:val="22"/>
        </w:rPr>
        <w:t>TTC</w:t>
      </w:r>
      <w:r w:rsidR="00126663" w:rsidRPr="00876B4D">
        <w:rPr>
          <w:sz w:val="22"/>
          <w:szCs w:val="22"/>
        </w:rPr>
        <w:t xml:space="preserve"> will be set annually </w:t>
      </w:r>
      <w:r w:rsidR="00F23BAE" w:rsidRPr="00876B4D">
        <w:rPr>
          <w:sz w:val="22"/>
          <w:szCs w:val="22"/>
        </w:rPr>
        <w:t xml:space="preserve">by the Chair based on criteria such as compensation range, specialty, faculty track, rank and/or years of service as defined in department’s compensation plan. </w:t>
      </w:r>
    </w:p>
    <w:p w14:paraId="33754CC9" w14:textId="77777777" w:rsidR="005753AA" w:rsidRPr="00876B4D" w:rsidRDefault="005753AA" w:rsidP="00F23BAE">
      <w:pPr>
        <w:jc w:val="both"/>
        <w:rPr>
          <w:sz w:val="22"/>
          <w:szCs w:val="22"/>
        </w:rPr>
      </w:pPr>
    </w:p>
    <w:p w14:paraId="0C674B06" w14:textId="1398FDC4" w:rsidR="00826341" w:rsidRPr="00876B4D" w:rsidRDefault="00826341" w:rsidP="005753AA">
      <w:pPr>
        <w:pStyle w:val="ListParagraph"/>
        <w:ind w:left="1440"/>
        <w:jc w:val="both"/>
        <w:rPr>
          <w:sz w:val="22"/>
          <w:szCs w:val="22"/>
        </w:rPr>
      </w:pPr>
      <w:r w:rsidRPr="00876B4D">
        <w:rPr>
          <w:sz w:val="22"/>
          <w:szCs w:val="22"/>
        </w:rPr>
        <w:t xml:space="preserve">Example: Total Base Salary as a </w:t>
      </w:r>
      <w:r w:rsidR="005753AA" w:rsidRPr="00876B4D">
        <w:rPr>
          <w:sz w:val="22"/>
          <w:szCs w:val="22"/>
        </w:rPr>
        <w:t>%</w:t>
      </w:r>
      <w:r w:rsidRPr="00876B4D">
        <w:rPr>
          <w:sz w:val="22"/>
          <w:szCs w:val="22"/>
        </w:rPr>
        <w:t xml:space="preserve"> of TTC will be based on TTC range.</w:t>
      </w:r>
    </w:p>
    <w:p w14:paraId="1242E45B" w14:textId="77777777" w:rsidR="006845BB" w:rsidRPr="00876B4D" w:rsidRDefault="006845BB" w:rsidP="006845BB">
      <w:pPr>
        <w:pStyle w:val="ListParagraph"/>
        <w:ind w:left="1440"/>
        <w:jc w:val="both"/>
        <w:rPr>
          <w:sz w:val="22"/>
          <w:szCs w:val="22"/>
        </w:rPr>
      </w:pPr>
    </w:p>
    <w:tbl>
      <w:tblPr>
        <w:tblStyle w:val="TableGrid"/>
        <w:tblW w:w="0" w:type="auto"/>
        <w:tblInd w:w="1440" w:type="dxa"/>
        <w:tblLook w:val="04A0" w:firstRow="1" w:lastRow="0" w:firstColumn="1" w:lastColumn="0" w:noHBand="0" w:noVBand="1"/>
      </w:tblPr>
      <w:tblGrid>
        <w:gridCol w:w="1615"/>
        <w:gridCol w:w="2340"/>
        <w:gridCol w:w="2250"/>
      </w:tblGrid>
      <w:tr w:rsidR="006845BB" w:rsidRPr="00876B4D" w14:paraId="33B47C5F" w14:textId="0E5901D6" w:rsidTr="006845BB">
        <w:tc>
          <w:tcPr>
            <w:tcW w:w="1615" w:type="dxa"/>
          </w:tcPr>
          <w:p w14:paraId="24DC8A1D" w14:textId="028F1848" w:rsidR="006845BB" w:rsidRPr="00876B4D" w:rsidRDefault="006845BB" w:rsidP="006845BB">
            <w:pPr>
              <w:pStyle w:val="ListParagraph"/>
              <w:ind w:left="0"/>
              <w:jc w:val="both"/>
              <w:rPr>
                <w:sz w:val="22"/>
                <w:szCs w:val="22"/>
              </w:rPr>
            </w:pPr>
            <w:r w:rsidRPr="00876B4D">
              <w:rPr>
                <w:sz w:val="22"/>
                <w:szCs w:val="22"/>
              </w:rPr>
              <w:t xml:space="preserve">TTC </w:t>
            </w:r>
          </w:p>
        </w:tc>
        <w:tc>
          <w:tcPr>
            <w:tcW w:w="2340" w:type="dxa"/>
          </w:tcPr>
          <w:p w14:paraId="3BAB3F9F" w14:textId="72A81E35" w:rsidR="006845BB" w:rsidRPr="00876B4D" w:rsidRDefault="006845BB" w:rsidP="006845BB">
            <w:pPr>
              <w:pStyle w:val="ListParagraph"/>
              <w:ind w:left="0"/>
              <w:jc w:val="center"/>
              <w:rPr>
                <w:sz w:val="22"/>
                <w:szCs w:val="22"/>
              </w:rPr>
            </w:pPr>
            <w:r w:rsidRPr="00876B4D">
              <w:rPr>
                <w:sz w:val="22"/>
                <w:szCs w:val="22"/>
              </w:rPr>
              <w:t>Total Base salary (%)</w:t>
            </w:r>
          </w:p>
        </w:tc>
        <w:tc>
          <w:tcPr>
            <w:tcW w:w="2250" w:type="dxa"/>
          </w:tcPr>
          <w:p w14:paraId="07A82C30" w14:textId="459F915A" w:rsidR="006845BB" w:rsidRPr="00876B4D" w:rsidRDefault="006845BB" w:rsidP="006845BB">
            <w:pPr>
              <w:pStyle w:val="ListParagraph"/>
              <w:ind w:left="0"/>
              <w:jc w:val="center"/>
              <w:rPr>
                <w:sz w:val="22"/>
                <w:szCs w:val="22"/>
              </w:rPr>
            </w:pPr>
            <w:r w:rsidRPr="00876B4D">
              <w:rPr>
                <w:sz w:val="22"/>
                <w:szCs w:val="22"/>
              </w:rPr>
              <w:t>Target Incentive (%)</w:t>
            </w:r>
          </w:p>
        </w:tc>
      </w:tr>
      <w:tr w:rsidR="006845BB" w:rsidRPr="00876B4D" w14:paraId="561DC7DC" w14:textId="59B3DED0" w:rsidTr="006845BB">
        <w:tc>
          <w:tcPr>
            <w:tcW w:w="1615" w:type="dxa"/>
          </w:tcPr>
          <w:p w14:paraId="2E141889" w14:textId="514CB548" w:rsidR="006845BB" w:rsidRPr="00876B4D" w:rsidRDefault="006845BB" w:rsidP="006845BB">
            <w:pPr>
              <w:pStyle w:val="ListParagraph"/>
              <w:ind w:left="0"/>
              <w:jc w:val="both"/>
              <w:rPr>
                <w:sz w:val="22"/>
                <w:szCs w:val="22"/>
              </w:rPr>
            </w:pPr>
            <w:r w:rsidRPr="00876B4D">
              <w:rPr>
                <w:sz w:val="22"/>
                <w:szCs w:val="22"/>
              </w:rPr>
              <w:t>&lt;250,000</w:t>
            </w:r>
          </w:p>
        </w:tc>
        <w:tc>
          <w:tcPr>
            <w:tcW w:w="2340" w:type="dxa"/>
          </w:tcPr>
          <w:p w14:paraId="53FE194F" w14:textId="10EE3DA4" w:rsidR="006845BB" w:rsidRPr="00876B4D" w:rsidRDefault="006845BB" w:rsidP="006845BB">
            <w:pPr>
              <w:pStyle w:val="ListParagraph"/>
              <w:ind w:left="0"/>
              <w:jc w:val="center"/>
              <w:rPr>
                <w:sz w:val="22"/>
                <w:szCs w:val="22"/>
              </w:rPr>
            </w:pPr>
            <w:r w:rsidRPr="00876B4D">
              <w:rPr>
                <w:sz w:val="22"/>
                <w:szCs w:val="22"/>
              </w:rPr>
              <w:t>95</w:t>
            </w:r>
          </w:p>
        </w:tc>
        <w:tc>
          <w:tcPr>
            <w:tcW w:w="2250" w:type="dxa"/>
          </w:tcPr>
          <w:p w14:paraId="6477C64D" w14:textId="6C140D86" w:rsidR="006845BB" w:rsidRPr="00876B4D" w:rsidRDefault="006845BB" w:rsidP="006845BB">
            <w:pPr>
              <w:pStyle w:val="ListParagraph"/>
              <w:ind w:left="0"/>
              <w:jc w:val="center"/>
              <w:rPr>
                <w:sz w:val="22"/>
                <w:szCs w:val="22"/>
              </w:rPr>
            </w:pPr>
            <w:r w:rsidRPr="00876B4D">
              <w:rPr>
                <w:sz w:val="22"/>
                <w:szCs w:val="22"/>
              </w:rPr>
              <w:t>5</w:t>
            </w:r>
          </w:p>
        </w:tc>
      </w:tr>
      <w:tr w:rsidR="006845BB" w:rsidRPr="00876B4D" w14:paraId="76119D94" w14:textId="61FF51A9" w:rsidTr="006845BB">
        <w:tc>
          <w:tcPr>
            <w:tcW w:w="1615" w:type="dxa"/>
          </w:tcPr>
          <w:p w14:paraId="4F892CCC" w14:textId="66195BBC" w:rsidR="006845BB" w:rsidRPr="00876B4D" w:rsidRDefault="006845BB" w:rsidP="006845BB">
            <w:pPr>
              <w:pStyle w:val="ListParagraph"/>
              <w:ind w:left="0"/>
              <w:jc w:val="both"/>
              <w:rPr>
                <w:sz w:val="22"/>
                <w:szCs w:val="22"/>
              </w:rPr>
            </w:pPr>
            <w:r w:rsidRPr="00876B4D">
              <w:rPr>
                <w:sz w:val="22"/>
                <w:szCs w:val="22"/>
              </w:rPr>
              <w:t>250-349,000</w:t>
            </w:r>
          </w:p>
        </w:tc>
        <w:tc>
          <w:tcPr>
            <w:tcW w:w="2340" w:type="dxa"/>
          </w:tcPr>
          <w:p w14:paraId="5C885AD6" w14:textId="351A4E24" w:rsidR="006845BB" w:rsidRPr="00876B4D" w:rsidRDefault="006845BB" w:rsidP="006845BB">
            <w:pPr>
              <w:pStyle w:val="ListParagraph"/>
              <w:ind w:left="0"/>
              <w:jc w:val="center"/>
              <w:rPr>
                <w:sz w:val="22"/>
                <w:szCs w:val="22"/>
              </w:rPr>
            </w:pPr>
            <w:r w:rsidRPr="00876B4D">
              <w:rPr>
                <w:sz w:val="22"/>
                <w:szCs w:val="22"/>
              </w:rPr>
              <w:t>90</w:t>
            </w:r>
          </w:p>
        </w:tc>
        <w:tc>
          <w:tcPr>
            <w:tcW w:w="2250" w:type="dxa"/>
          </w:tcPr>
          <w:p w14:paraId="1AECAA7F" w14:textId="3B7F490E" w:rsidR="006845BB" w:rsidRPr="00876B4D" w:rsidRDefault="006845BB" w:rsidP="006845BB">
            <w:pPr>
              <w:pStyle w:val="ListParagraph"/>
              <w:ind w:left="0"/>
              <w:jc w:val="center"/>
              <w:rPr>
                <w:sz w:val="22"/>
                <w:szCs w:val="22"/>
              </w:rPr>
            </w:pPr>
            <w:r w:rsidRPr="00876B4D">
              <w:rPr>
                <w:sz w:val="22"/>
                <w:szCs w:val="22"/>
              </w:rPr>
              <w:t>10</w:t>
            </w:r>
          </w:p>
        </w:tc>
      </w:tr>
      <w:tr w:rsidR="006845BB" w:rsidRPr="00876B4D" w14:paraId="45767740" w14:textId="04558569" w:rsidTr="006845BB">
        <w:tc>
          <w:tcPr>
            <w:tcW w:w="1615" w:type="dxa"/>
          </w:tcPr>
          <w:p w14:paraId="1CD72ECE" w14:textId="2B43E0F2" w:rsidR="006845BB" w:rsidRPr="00876B4D" w:rsidRDefault="006845BB" w:rsidP="006845BB">
            <w:pPr>
              <w:pStyle w:val="ListParagraph"/>
              <w:ind w:left="0"/>
              <w:jc w:val="both"/>
              <w:rPr>
                <w:sz w:val="22"/>
                <w:szCs w:val="22"/>
              </w:rPr>
            </w:pPr>
            <w:r w:rsidRPr="00876B4D">
              <w:rPr>
                <w:sz w:val="22"/>
                <w:szCs w:val="22"/>
              </w:rPr>
              <w:t>350-500,000</w:t>
            </w:r>
          </w:p>
        </w:tc>
        <w:tc>
          <w:tcPr>
            <w:tcW w:w="2340" w:type="dxa"/>
          </w:tcPr>
          <w:p w14:paraId="062B4804" w14:textId="74D771D3" w:rsidR="006845BB" w:rsidRPr="00876B4D" w:rsidRDefault="006845BB" w:rsidP="006845BB">
            <w:pPr>
              <w:pStyle w:val="ListParagraph"/>
              <w:ind w:left="0"/>
              <w:jc w:val="center"/>
              <w:rPr>
                <w:sz w:val="22"/>
                <w:szCs w:val="22"/>
              </w:rPr>
            </w:pPr>
            <w:r w:rsidRPr="00876B4D">
              <w:rPr>
                <w:sz w:val="22"/>
                <w:szCs w:val="22"/>
              </w:rPr>
              <w:t>85</w:t>
            </w:r>
          </w:p>
        </w:tc>
        <w:tc>
          <w:tcPr>
            <w:tcW w:w="2250" w:type="dxa"/>
          </w:tcPr>
          <w:p w14:paraId="5FEBB441" w14:textId="4B435498" w:rsidR="006845BB" w:rsidRPr="00876B4D" w:rsidRDefault="006845BB" w:rsidP="006845BB">
            <w:pPr>
              <w:pStyle w:val="ListParagraph"/>
              <w:ind w:left="0"/>
              <w:jc w:val="center"/>
              <w:rPr>
                <w:sz w:val="22"/>
                <w:szCs w:val="22"/>
              </w:rPr>
            </w:pPr>
            <w:r w:rsidRPr="00876B4D">
              <w:rPr>
                <w:sz w:val="22"/>
                <w:szCs w:val="22"/>
              </w:rPr>
              <w:t>15</w:t>
            </w:r>
          </w:p>
        </w:tc>
      </w:tr>
      <w:tr w:rsidR="006845BB" w:rsidRPr="00876B4D" w14:paraId="3203ECAF" w14:textId="77777777" w:rsidTr="006845BB">
        <w:tc>
          <w:tcPr>
            <w:tcW w:w="1615" w:type="dxa"/>
          </w:tcPr>
          <w:p w14:paraId="3EF7AC1B" w14:textId="1E68DF0D" w:rsidR="006845BB" w:rsidRPr="00876B4D" w:rsidRDefault="006845BB" w:rsidP="006845BB">
            <w:pPr>
              <w:pStyle w:val="ListParagraph"/>
              <w:ind w:left="0"/>
              <w:jc w:val="both"/>
              <w:rPr>
                <w:sz w:val="22"/>
                <w:szCs w:val="22"/>
              </w:rPr>
            </w:pPr>
            <w:r w:rsidRPr="00876B4D">
              <w:rPr>
                <w:sz w:val="22"/>
                <w:szCs w:val="22"/>
              </w:rPr>
              <w:t>&gt;500,000</w:t>
            </w:r>
          </w:p>
        </w:tc>
        <w:tc>
          <w:tcPr>
            <w:tcW w:w="2340" w:type="dxa"/>
          </w:tcPr>
          <w:p w14:paraId="3E924B65" w14:textId="343524B0" w:rsidR="006845BB" w:rsidRPr="00876B4D" w:rsidRDefault="006845BB" w:rsidP="006845BB">
            <w:pPr>
              <w:pStyle w:val="ListParagraph"/>
              <w:ind w:left="0"/>
              <w:jc w:val="center"/>
              <w:rPr>
                <w:sz w:val="22"/>
                <w:szCs w:val="22"/>
              </w:rPr>
            </w:pPr>
            <w:r w:rsidRPr="00876B4D">
              <w:rPr>
                <w:sz w:val="22"/>
                <w:szCs w:val="22"/>
              </w:rPr>
              <w:t>80</w:t>
            </w:r>
          </w:p>
        </w:tc>
        <w:tc>
          <w:tcPr>
            <w:tcW w:w="2250" w:type="dxa"/>
          </w:tcPr>
          <w:p w14:paraId="0D633564" w14:textId="384EF310" w:rsidR="006845BB" w:rsidRPr="00876B4D" w:rsidRDefault="006845BB" w:rsidP="006845BB">
            <w:pPr>
              <w:pStyle w:val="ListParagraph"/>
              <w:ind w:left="0"/>
              <w:jc w:val="center"/>
              <w:rPr>
                <w:sz w:val="22"/>
                <w:szCs w:val="22"/>
              </w:rPr>
            </w:pPr>
            <w:r w:rsidRPr="00876B4D">
              <w:rPr>
                <w:sz w:val="22"/>
                <w:szCs w:val="22"/>
              </w:rPr>
              <w:t>20</w:t>
            </w:r>
          </w:p>
        </w:tc>
      </w:tr>
    </w:tbl>
    <w:p w14:paraId="46FFE027" w14:textId="77777777" w:rsidR="000038EC" w:rsidRPr="00876B4D" w:rsidRDefault="000038EC" w:rsidP="00F23BAE">
      <w:pPr>
        <w:jc w:val="both"/>
        <w:rPr>
          <w:b/>
          <w:sz w:val="22"/>
          <w:szCs w:val="22"/>
        </w:rPr>
      </w:pPr>
    </w:p>
    <w:p w14:paraId="2937998F" w14:textId="3A98C204" w:rsidR="00320AEA" w:rsidRPr="00876B4D" w:rsidRDefault="00320AEA" w:rsidP="00F23BAE">
      <w:pPr>
        <w:jc w:val="both"/>
        <w:rPr>
          <w:bCs/>
          <w:sz w:val="22"/>
          <w:szCs w:val="22"/>
        </w:rPr>
      </w:pPr>
    </w:p>
    <w:p w14:paraId="4078EB0B" w14:textId="446B5790" w:rsidR="000038EC" w:rsidRPr="00876B4D" w:rsidRDefault="00415484" w:rsidP="000038EC">
      <w:pPr>
        <w:jc w:val="both"/>
        <w:rPr>
          <w:sz w:val="22"/>
          <w:szCs w:val="22"/>
        </w:rPr>
      </w:pPr>
      <w:r w:rsidRPr="00876B4D">
        <w:rPr>
          <w:sz w:val="22"/>
          <w:szCs w:val="22"/>
        </w:rPr>
        <w:t>Base salary will flow through the University and/or VA payrolls based on the sources of revenue and applicable policies.</w:t>
      </w:r>
    </w:p>
    <w:p w14:paraId="4D714C53" w14:textId="77777777" w:rsidR="001C757F" w:rsidRPr="00876B4D" w:rsidRDefault="001C757F" w:rsidP="000038EC">
      <w:pPr>
        <w:jc w:val="both"/>
        <w:rPr>
          <w:sz w:val="22"/>
          <w:szCs w:val="22"/>
        </w:rPr>
      </w:pPr>
    </w:p>
    <w:p w14:paraId="5089801A" w14:textId="7C1D984A" w:rsidR="000038EC" w:rsidRPr="00876B4D" w:rsidRDefault="000038EC" w:rsidP="000038EC">
      <w:pPr>
        <w:jc w:val="both"/>
        <w:rPr>
          <w:sz w:val="22"/>
          <w:szCs w:val="22"/>
        </w:rPr>
      </w:pPr>
      <w:r w:rsidRPr="00876B4D">
        <w:rPr>
          <w:b/>
          <w:bCs/>
          <w:sz w:val="22"/>
          <w:szCs w:val="22"/>
        </w:rPr>
        <w:t>Note Regarding VA Compensation</w:t>
      </w:r>
      <w:r w:rsidR="00876B4D" w:rsidRPr="00876B4D">
        <w:rPr>
          <w:b/>
          <w:bCs/>
          <w:sz w:val="22"/>
          <w:szCs w:val="22"/>
        </w:rPr>
        <w:t>:</w:t>
      </w:r>
      <w:r w:rsidR="00876B4D" w:rsidRPr="00876B4D">
        <w:rPr>
          <w:sz w:val="22"/>
          <w:szCs w:val="22"/>
        </w:rPr>
        <w:t xml:space="preserve"> Total</w:t>
      </w:r>
      <w:r w:rsidRPr="00876B4D">
        <w:rPr>
          <w:sz w:val="22"/>
          <w:szCs w:val="22"/>
        </w:rPr>
        <w:t xml:space="preserve"> base salary and base salary supplement should be adjusted annually, effective July 1 of the next fiscal year, to take into consideration increases in VA physician compensation in accordance with the VA Salary Principles (see attached)</w:t>
      </w:r>
      <w:r w:rsidR="001C757F" w:rsidRPr="00876B4D">
        <w:rPr>
          <w:sz w:val="22"/>
          <w:szCs w:val="22"/>
        </w:rPr>
        <w:t>.</w:t>
      </w:r>
    </w:p>
    <w:p w14:paraId="551BF031" w14:textId="77777777" w:rsidR="001C757F" w:rsidRPr="00876B4D" w:rsidRDefault="001C757F" w:rsidP="000038EC">
      <w:pPr>
        <w:jc w:val="both"/>
        <w:rPr>
          <w:sz w:val="22"/>
          <w:szCs w:val="22"/>
        </w:rPr>
      </w:pPr>
    </w:p>
    <w:p w14:paraId="4604492D" w14:textId="7D1CB417" w:rsidR="000038EC" w:rsidRPr="00876B4D" w:rsidRDefault="000038EC" w:rsidP="000038EC">
      <w:pPr>
        <w:jc w:val="both"/>
        <w:rPr>
          <w:sz w:val="22"/>
          <w:szCs w:val="22"/>
        </w:rPr>
      </w:pPr>
      <w:r w:rsidRPr="00876B4D">
        <w:rPr>
          <w:b/>
          <w:bCs/>
          <w:sz w:val="22"/>
          <w:szCs w:val="22"/>
        </w:rPr>
        <w:t>Note Regarding FMLA Leave and Short-term Disability:</w:t>
      </w:r>
      <w:r w:rsidRPr="00876B4D">
        <w:rPr>
          <w:sz w:val="22"/>
          <w:szCs w:val="22"/>
        </w:rPr>
        <w:t xml:space="preserve">  University policy covering faculty and Penn Medicine Clinicians provides for continuation for up to six months of salary </w:t>
      </w:r>
      <w:r w:rsidR="009A491C" w:rsidRPr="00876B4D">
        <w:rPr>
          <w:sz w:val="22"/>
          <w:szCs w:val="22"/>
        </w:rPr>
        <w:t>at benefits base (t</w:t>
      </w:r>
      <w:r w:rsidRPr="00876B4D">
        <w:rPr>
          <w:sz w:val="22"/>
          <w:szCs w:val="22"/>
        </w:rPr>
        <w:t>ypically, this covers the FICA limit set by the IRS</w:t>
      </w:r>
      <w:r w:rsidR="009A491C" w:rsidRPr="00876B4D">
        <w:rPr>
          <w:sz w:val="22"/>
          <w:szCs w:val="22"/>
        </w:rPr>
        <w:t>)</w:t>
      </w:r>
      <w:r w:rsidRPr="00876B4D">
        <w:rPr>
          <w:sz w:val="22"/>
          <w:szCs w:val="22"/>
        </w:rPr>
        <w:t xml:space="preserve">.  CPUP Faculty Paid Time Off and Leave Policy requires the Department to continue the remainder of Total Base Salary for the duration of an approved </w:t>
      </w:r>
      <w:proofErr w:type="gramStart"/>
      <w:r w:rsidRPr="00876B4D">
        <w:rPr>
          <w:sz w:val="22"/>
          <w:szCs w:val="22"/>
        </w:rPr>
        <w:t>FMLA</w:t>
      </w:r>
      <w:proofErr w:type="gramEnd"/>
      <w:r w:rsidRPr="00876B4D">
        <w:rPr>
          <w:sz w:val="22"/>
          <w:szCs w:val="22"/>
        </w:rPr>
        <w:t xml:space="preserve"> or short-term disability leave (see attached).</w:t>
      </w:r>
    </w:p>
    <w:p w14:paraId="2D78141F" w14:textId="77777777" w:rsidR="000038EC" w:rsidRPr="00876B4D" w:rsidRDefault="000038EC" w:rsidP="000038EC">
      <w:pPr>
        <w:jc w:val="both"/>
        <w:rPr>
          <w:b/>
          <w:sz w:val="22"/>
          <w:szCs w:val="22"/>
        </w:rPr>
      </w:pPr>
    </w:p>
    <w:p w14:paraId="5869454F" w14:textId="21B3C4F2" w:rsidR="005753AA" w:rsidRPr="00876B4D" w:rsidRDefault="000038EC" w:rsidP="00C47870">
      <w:pPr>
        <w:pStyle w:val="ListParagraph"/>
        <w:numPr>
          <w:ilvl w:val="0"/>
          <w:numId w:val="28"/>
        </w:numPr>
        <w:rPr>
          <w:sz w:val="22"/>
          <w:szCs w:val="22"/>
        </w:rPr>
      </w:pPr>
      <w:r w:rsidRPr="00876B4D">
        <w:rPr>
          <w:b/>
          <w:sz w:val="22"/>
          <w:szCs w:val="22"/>
        </w:rPr>
        <w:t>Incentive</w:t>
      </w:r>
      <w:r w:rsidR="00876B4D" w:rsidRPr="00876B4D">
        <w:rPr>
          <w:b/>
          <w:sz w:val="22"/>
          <w:szCs w:val="22"/>
        </w:rPr>
        <w:t>:</w:t>
      </w:r>
      <w:r w:rsidR="00876B4D" w:rsidRPr="00876B4D">
        <w:rPr>
          <w:sz w:val="22"/>
          <w:szCs w:val="22"/>
        </w:rPr>
        <w:t xml:space="preserve"> The</w:t>
      </w:r>
      <w:r w:rsidRPr="00876B4D">
        <w:rPr>
          <w:sz w:val="22"/>
          <w:szCs w:val="22"/>
        </w:rPr>
        <w:t xml:space="preserve"> Incentive Component is performance based, as delineated in this Compensation Plan, and </w:t>
      </w:r>
      <w:r w:rsidR="00F23BAE" w:rsidRPr="00876B4D">
        <w:rPr>
          <w:sz w:val="22"/>
          <w:szCs w:val="22"/>
        </w:rPr>
        <w:t>includes</w:t>
      </w:r>
      <w:r w:rsidRPr="00876B4D">
        <w:rPr>
          <w:sz w:val="22"/>
          <w:szCs w:val="22"/>
        </w:rPr>
        <w:t xml:space="preserve"> measures of both individual and team productivity and performance</w:t>
      </w:r>
      <w:r w:rsidR="00F23BAE" w:rsidRPr="00876B4D">
        <w:rPr>
          <w:sz w:val="22"/>
          <w:szCs w:val="22"/>
        </w:rPr>
        <w:t>, as appropriate</w:t>
      </w:r>
      <w:r w:rsidRPr="00876B4D">
        <w:rPr>
          <w:sz w:val="22"/>
          <w:szCs w:val="22"/>
        </w:rPr>
        <w:t xml:space="preserve">.  </w:t>
      </w:r>
      <w:r w:rsidR="005753AA" w:rsidRPr="00876B4D">
        <w:rPr>
          <w:sz w:val="22"/>
          <w:szCs w:val="22"/>
        </w:rPr>
        <w:t>(See Appendix for Incentive Metric</w:t>
      </w:r>
      <w:r w:rsidR="005A1F99" w:rsidRPr="00876B4D">
        <w:rPr>
          <w:sz w:val="22"/>
          <w:szCs w:val="22"/>
        </w:rPr>
        <w:t xml:space="preserve"> Examples</w:t>
      </w:r>
      <w:r w:rsidR="005753AA" w:rsidRPr="00876B4D">
        <w:rPr>
          <w:sz w:val="22"/>
          <w:szCs w:val="22"/>
        </w:rPr>
        <w:t>).</w:t>
      </w:r>
    </w:p>
    <w:p w14:paraId="7629187B" w14:textId="77777777" w:rsidR="00F23BAE" w:rsidRPr="00876B4D" w:rsidRDefault="00F23BAE" w:rsidP="005753AA">
      <w:pPr>
        <w:pStyle w:val="ListParagraph"/>
        <w:numPr>
          <w:ilvl w:val="0"/>
          <w:numId w:val="25"/>
        </w:numPr>
        <w:rPr>
          <w:sz w:val="22"/>
          <w:szCs w:val="22"/>
        </w:rPr>
      </w:pPr>
      <w:r w:rsidRPr="00876B4D">
        <w:rPr>
          <w:sz w:val="22"/>
          <w:szCs w:val="22"/>
        </w:rPr>
        <w:t xml:space="preserve">Incentive metrics are established annually by the Chair/Chief in alignment with the Department/Division, UPHS and individual faculty goals.  </w:t>
      </w:r>
    </w:p>
    <w:p w14:paraId="4E37DACA" w14:textId="7FF86E36" w:rsidR="000038EC" w:rsidRPr="00876B4D" w:rsidRDefault="000038EC" w:rsidP="005753AA">
      <w:pPr>
        <w:pStyle w:val="ListParagraph"/>
        <w:numPr>
          <w:ilvl w:val="0"/>
          <w:numId w:val="25"/>
        </w:numPr>
        <w:rPr>
          <w:sz w:val="22"/>
          <w:szCs w:val="22"/>
        </w:rPr>
      </w:pPr>
      <w:r w:rsidRPr="00876B4D">
        <w:rPr>
          <w:sz w:val="22"/>
          <w:szCs w:val="22"/>
        </w:rPr>
        <w:t xml:space="preserve">Incentive metrics should, with rare exception, be quantitative and tracked at least quarterly or semi-annually for faculty members.  </w:t>
      </w:r>
    </w:p>
    <w:p w14:paraId="78A91396" w14:textId="670E00CC" w:rsidR="00171703" w:rsidRPr="00876B4D" w:rsidRDefault="00171703" w:rsidP="00171703">
      <w:pPr>
        <w:pStyle w:val="ListParagraph"/>
        <w:numPr>
          <w:ilvl w:val="0"/>
          <w:numId w:val="25"/>
        </w:numPr>
        <w:jc w:val="both"/>
        <w:rPr>
          <w:sz w:val="22"/>
          <w:szCs w:val="22"/>
        </w:rPr>
      </w:pPr>
      <w:r w:rsidRPr="00876B4D">
        <w:rPr>
          <w:sz w:val="22"/>
          <w:szCs w:val="22"/>
        </w:rPr>
        <w:t xml:space="preserve">Individual metrics should predominate over group metrics in any productivity-based incentive, except where compensation plans pertain to group coverage or call arrangements (e.g. maternal/fetal medicine, emergency medicine) or other arrangements approved by Penn Medicine’s Office of the General Counsel.  </w:t>
      </w:r>
    </w:p>
    <w:p w14:paraId="5A54DF80" w14:textId="4CE7548F" w:rsidR="005753AA" w:rsidRPr="000F4D15" w:rsidRDefault="00171703" w:rsidP="005753AA">
      <w:pPr>
        <w:pStyle w:val="ListParagraph"/>
        <w:numPr>
          <w:ilvl w:val="0"/>
          <w:numId w:val="25"/>
        </w:numPr>
        <w:rPr>
          <w:sz w:val="22"/>
          <w:szCs w:val="22"/>
        </w:rPr>
      </w:pPr>
      <w:r w:rsidRPr="00876B4D">
        <w:rPr>
          <w:sz w:val="22"/>
          <w:szCs w:val="22"/>
        </w:rPr>
        <w:t>Incentive</w:t>
      </w:r>
      <w:r w:rsidR="000038EC" w:rsidRPr="00876B4D">
        <w:rPr>
          <w:sz w:val="22"/>
          <w:szCs w:val="22"/>
        </w:rPr>
        <w:t xml:space="preserve"> at target may be </w:t>
      </w:r>
      <w:r w:rsidRPr="00876B4D">
        <w:rPr>
          <w:sz w:val="22"/>
          <w:szCs w:val="22"/>
        </w:rPr>
        <w:t xml:space="preserve">guaranteed </w:t>
      </w:r>
      <w:r w:rsidR="000038EC" w:rsidRPr="00876B4D">
        <w:rPr>
          <w:sz w:val="22"/>
          <w:szCs w:val="22"/>
        </w:rPr>
        <w:t xml:space="preserve">for new faculty members for </w:t>
      </w:r>
      <w:r w:rsidR="005753AA" w:rsidRPr="00876B4D">
        <w:rPr>
          <w:sz w:val="22"/>
          <w:szCs w:val="22"/>
        </w:rPr>
        <w:t>no longer than the</w:t>
      </w:r>
      <w:r w:rsidR="000038EC" w:rsidRPr="00876B4D">
        <w:rPr>
          <w:sz w:val="22"/>
          <w:szCs w:val="22"/>
        </w:rPr>
        <w:t xml:space="preserve"> first </w:t>
      </w:r>
      <w:r w:rsidR="00F23BAE" w:rsidRPr="00876B4D">
        <w:rPr>
          <w:sz w:val="22"/>
          <w:szCs w:val="22"/>
        </w:rPr>
        <w:t xml:space="preserve">3 years </w:t>
      </w:r>
      <w:r w:rsidR="000038EC" w:rsidRPr="00876B4D">
        <w:rPr>
          <w:sz w:val="22"/>
          <w:szCs w:val="22"/>
        </w:rPr>
        <w:t>of employment</w:t>
      </w:r>
      <w:r w:rsidRPr="00876B4D">
        <w:rPr>
          <w:sz w:val="22"/>
          <w:szCs w:val="22"/>
        </w:rPr>
        <w:t xml:space="preserve"> at the discretion of the Chair</w:t>
      </w:r>
      <w:r w:rsidR="000038EC" w:rsidRPr="00876B4D">
        <w:rPr>
          <w:sz w:val="22"/>
          <w:szCs w:val="22"/>
        </w:rPr>
        <w:t>.</w:t>
      </w:r>
      <w:r w:rsidR="0068134F" w:rsidRPr="00876B4D">
        <w:rPr>
          <w:sz w:val="22"/>
          <w:szCs w:val="22"/>
        </w:rPr>
        <w:t xml:space="preserve">  Such guarantees should be reviewed with respect to fair market </w:t>
      </w:r>
      <w:r w:rsidR="0068134F" w:rsidRPr="000F4D15">
        <w:rPr>
          <w:sz w:val="22"/>
          <w:szCs w:val="22"/>
        </w:rPr>
        <w:t xml:space="preserve">value prior to commitment and after one year. </w:t>
      </w:r>
      <w:r w:rsidR="000038EC" w:rsidRPr="000F4D15">
        <w:rPr>
          <w:sz w:val="22"/>
          <w:szCs w:val="22"/>
        </w:rPr>
        <w:t xml:space="preserve">  </w:t>
      </w:r>
    </w:p>
    <w:p w14:paraId="4FD16501" w14:textId="4E2E910C" w:rsidR="000038EC" w:rsidRPr="000F4D15" w:rsidRDefault="001B0BC2" w:rsidP="005753AA">
      <w:pPr>
        <w:pStyle w:val="ListParagraph"/>
        <w:numPr>
          <w:ilvl w:val="0"/>
          <w:numId w:val="25"/>
        </w:numPr>
        <w:rPr>
          <w:sz w:val="22"/>
          <w:szCs w:val="22"/>
        </w:rPr>
      </w:pPr>
      <w:r w:rsidRPr="000F4D15">
        <w:rPr>
          <w:sz w:val="22"/>
          <w:szCs w:val="22"/>
        </w:rPr>
        <w:t xml:space="preserve">Incentive goals and </w:t>
      </w:r>
      <w:r w:rsidR="00876672" w:rsidRPr="000F4D15">
        <w:rPr>
          <w:sz w:val="22"/>
          <w:szCs w:val="22"/>
        </w:rPr>
        <w:t>amount</w:t>
      </w:r>
      <w:r w:rsidRPr="000F4D15">
        <w:rPr>
          <w:sz w:val="22"/>
          <w:szCs w:val="22"/>
        </w:rPr>
        <w:t xml:space="preserve"> for faculty practicing in two departments should be prorated commensurate with </w:t>
      </w:r>
      <w:proofErr w:type="gramStart"/>
      <w:r w:rsidRPr="000F4D15">
        <w:rPr>
          <w:sz w:val="22"/>
          <w:szCs w:val="22"/>
        </w:rPr>
        <w:t>percent</w:t>
      </w:r>
      <w:proofErr w:type="gramEnd"/>
      <w:r w:rsidRPr="000F4D15">
        <w:rPr>
          <w:sz w:val="22"/>
          <w:szCs w:val="22"/>
        </w:rPr>
        <w:t xml:space="preserve"> effort in each department. </w:t>
      </w:r>
    </w:p>
    <w:p w14:paraId="5C99934D" w14:textId="58DD4532" w:rsidR="00171703" w:rsidRPr="00876B4D" w:rsidRDefault="00F23BAE" w:rsidP="000038EC">
      <w:pPr>
        <w:pStyle w:val="ListParagraph"/>
        <w:numPr>
          <w:ilvl w:val="0"/>
          <w:numId w:val="25"/>
        </w:numPr>
        <w:jc w:val="both"/>
        <w:rPr>
          <w:sz w:val="22"/>
          <w:szCs w:val="22"/>
        </w:rPr>
      </w:pPr>
      <w:r w:rsidRPr="00876B4D">
        <w:rPr>
          <w:sz w:val="22"/>
          <w:szCs w:val="22"/>
        </w:rPr>
        <w:lastRenderedPageBreak/>
        <w:t xml:space="preserve">It is recommended that CE or tenure track faculty members with &lt; 30% </w:t>
      </w:r>
      <w:proofErr w:type="spellStart"/>
      <w:r w:rsidRPr="00876B4D">
        <w:rPr>
          <w:sz w:val="22"/>
          <w:szCs w:val="22"/>
        </w:rPr>
        <w:t>cFTE</w:t>
      </w:r>
      <w:proofErr w:type="spellEnd"/>
      <w:r w:rsidRPr="00876B4D">
        <w:rPr>
          <w:sz w:val="22"/>
          <w:szCs w:val="22"/>
        </w:rPr>
        <w:t xml:space="preserve"> (on their academic plan) have an adjusted or “capped” clinical incentive to promote alignment with their overall academic plan.</w:t>
      </w:r>
    </w:p>
    <w:p w14:paraId="3BB47B10" w14:textId="0241DF94" w:rsidR="00171703" w:rsidRPr="00876B4D" w:rsidRDefault="00171703" w:rsidP="00171703">
      <w:pPr>
        <w:pStyle w:val="ListParagraph"/>
        <w:numPr>
          <w:ilvl w:val="0"/>
          <w:numId w:val="25"/>
        </w:numPr>
        <w:jc w:val="both"/>
        <w:rPr>
          <w:sz w:val="22"/>
          <w:szCs w:val="22"/>
        </w:rPr>
      </w:pPr>
      <w:r w:rsidRPr="00876B4D">
        <w:rPr>
          <w:sz w:val="22"/>
          <w:szCs w:val="22"/>
        </w:rPr>
        <w:t>It is permissible to reduce the incentive amount as determined by the Chair for failure to comply with departmental and CPUP policies (i.e., closing EPIC encounters, complete operative notes, managing EPIC in-box messages).</w:t>
      </w:r>
    </w:p>
    <w:p w14:paraId="75602EED" w14:textId="77777777" w:rsidR="00171703" w:rsidRPr="00876B4D" w:rsidRDefault="000038EC" w:rsidP="00171703">
      <w:pPr>
        <w:pStyle w:val="ListParagraph"/>
        <w:numPr>
          <w:ilvl w:val="0"/>
          <w:numId w:val="25"/>
        </w:numPr>
        <w:jc w:val="both"/>
        <w:rPr>
          <w:sz w:val="22"/>
          <w:szCs w:val="22"/>
        </w:rPr>
      </w:pPr>
      <w:r w:rsidRPr="00876B4D">
        <w:rPr>
          <w:sz w:val="22"/>
          <w:szCs w:val="22"/>
        </w:rPr>
        <w:t xml:space="preserve">Department/division leaders’ incentive component may include a percentage at risk linked to metrics aligned with Penn Medicine and department/division goals in addition to individual metrics.  </w:t>
      </w:r>
    </w:p>
    <w:p w14:paraId="6EA149D0" w14:textId="4AD157F3" w:rsidR="000038EC" w:rsidRPr="00876B4D" w:rsidRDefault="000038EC" w:rsidP="00C0581F">
      <w:pPr>
        <w:jc w:val="both"/>
        <w:rPr>
          <w:sz w:val="22"/>
          <w:szCs w:val="22"/>
        </w:rPr>
      </w:pPr>
    </w:p>
    <w:p w14:paraId="013FC3B9" w14:textId="77777777" w:rsidR="00C0581F" w:rsidRPr="00876B4D" w:rsidRDefault="00C0581F" w:rsidP="00C0581F">
      <w:pPr>
        <w:ind w:left="360"/>
        <w:jc w:val="both"/>
        <w:rPr>
          <w:b/>
          <w:sz w:val="22"/>
          <w:szCs w:val="22"/>
        </w:rPr>
      </w:pPr>
      <w:r w:rsidRPr="00876B4D">
        <w:rPr>
          <w:b/>
          <w:sz w:val="22"/>
          <w:szCs w:val="22"/>
        </w:rPr>
        <w:t>Treatment of Advanced Practice Provider (APP) Support</w:t>
      </w:r>
    </w:p>
    <w:p w14:paraId="064445EF" w14:textId="4A92DBBC" w:rsidR="00C0581F" w:rsidRPr="00876B4D" w:rsidRDefault="00C0581F" w:rsidP="00C0581F">
      <w:pPr>
        <w:pStyle w:val="ListParagraph"/>
        <w:numPr>
          <w:ilvl w:val="2"/>
          <w:numId w:val="1"/>
        </w:numPr>
        <w:jc w:val="both"/>
        <w:rPr>
          <w:bCs/>
          <w:sz w:val="22"/>
          <w:szCs w:val="22"/>
        </w:rPr>
      </w:pPr>
      <w:r w:rsidRPr="00876B4D">
        <w:rPr>
          <w:bCs/>
          <w:sz w:val="22"/>
          <w:szCs w:val="22"/>
        </w:rPr>
        <w:t xml:space="preserve">Departments should define whether they are </w:t>
      </w:r>
      <w:r w:rsidR="00876B4D" w:rsidRPr="00876B4D">
        <w:rPr>
          <w:bCs/>
          <w:sz w:val="22"/>
          <w:szCs w:val="22"/>
        </w:rPr>
        <w:t>including</w:t>
      </w:r>
      <w:r w:rsidR="009A491C" w:rsidRPr="00876B4D">
        <w:rPr>
          <w:bCs/>
          <w:sz w:val="22"/>
          <w:szCs w:val="22"/>
        </w:rPr>
        <w:t xml:space="preserve"> incentive metrics for faculty members </w:t>
      </w:r>
      <w:proofErr w:type="spellStart"/>
      <w:r w:rsidRPr="00876B4D">
        <w:rPr>
          <w:bCs/>
          <w:sz w:val="22"/>
          <w:szCs w:val="22"/>
        </w:rPr>
        <w:t>wRVU</w:t>
      </w:r>
      <w:proofErr w:type="spellEnd"/>
      <w:r w:rsidRPr="00876B4D">
        <w:rPr>
          <w:bCs/>
          <w:sz w:val="22"/>
          <w:szCs w:val="22"/>
        </w:rPr>
        <w:t>/Net Patient Revenue (NPR) productivity generated by APPs as a Service Provider</w:t>
      </w:r>
      <w:r w:rsidR="009A491C" w:rsidRPr="00876B4D">
        <w:rPr>
          <w:bCs/>
          <w:sz w:val="22"/>
          <w:szCs w:val="22"/>
        </w:rPr>
        <w:t>, due to faculty supervision</w:t>
      </w:r>
      <w:r w:rsidRPr="00876B4D">
        <w:rPr>
          <w:bCs/>
          <w:sz w:val="22"/>
          <w:szCs w:val="22"/>
        </w:rPr>
        <w:t>.</w:t>
      </w:r>
    </w:p>
    <w:p w14:paraId="043B9E5F" w14:textId="77777777" w:rsidR="00C0581F" w:rsidRPr="00876B4D" w:rsidRDefault="00C0581F" w:rsidP="00C0581F">
      <w:pPr>
        <w:pStyle w:val="ListParagraph"/>
        <w:numPr>
          <w:ilvl w:val="2"/>
          <w:numId w:val="1"/>
        </w:numPr>
        <w:jc w:val="both"/>
        <w:rPr>
          <w:bCs/>
          <w:sz w:val="22"/>
          <w:szCs w:val="22"/>
        </w:rPr>
      </w:pPr>
      <w:r w:rsidRPr="00876B4D">
        <w:rPr>
          <w:bCs/>
          <w:sz w:val="22"/>
          <w:szCs w:val="22"/>
        </w:rPr>
        <w:t xml:space="preserve">If the productivity for the APP is included for the faculty achievement, then no incentive on this </w:t>
      </w:r>
      <w:proofErr w:type="spellStart"/>
      <w:r w:rsidRPr="00876B4D">
        <w:rPr>
          <w:bCs/>
          <w:sz w:val="22"/>
          <w:szCs w:val="22"/>
        </w:rPr>
        <w:t>wRVU</w:t>
      </w:r>
      <w:proofErr w:type="spellEnd"/>
      <w:r w:rsidRPr="00876B4D">
        <w:rPr>
          <w:bCs/>
          <w:sz w:val="22"/>
          <w:szCs w:val="22"/>
        </w:rPr>
        <w:t xml:space="preserve"> productivity should be paid to the APP for this work and vice versa. This is meant to avoid double paying an incentive for the same productivity.</w:t>
      </w:r>
    </w:p>
    <w:p w14:paraId="28BB8DC6" w14:textId="77777777" w:rsidR="00C0581F" w:rsidRPr="00876B4D" w:rsidRDefault="00C0581F" w:rsidP="00C0581F">
      <w:pPr>
        <w:jc w:val="both"/>
        <w:rPr>
          <w:sz w:val="22"/>
          <w:szCs w:val="22"/>
        </w:rPr>
      </w:pPr>
    </w:p>
    <w:p w14:paraId="753D5055" w14:textId="77777777" w:rsidR="00171703" w:rsidRPr="00876B4D" w:rsidRDefault="00171703" w:rsidP="00171703">
      <w:pPr>
        <w:jc w:val="both"/>
        <w:rPr>
          <w:sz w:val="22"/>
          <w:szCs w:val="22"/>
        </w:rPr>
      </w:pPr>
      <w:r w:rsidRPr="00876B4D">
        <w:rPr>
          <w:sz w:val="22"/>
          <w:szCs w:val="22"/>
        </w:rPr>
        <w:t>Each year, every faculty member, in conjunction with his/her Division Chief or Department Chair, should review their Academic Plan, and the expected effort allocations across all the Department’s missions, anticipated research funding, and specific clinical, quality, research, teaching and administrative goals.  Any adjustments in effort, productivity, and goals should be taken into consideration when setting incentive goals and targets.</w:t>
      </w:r>
    </w:p>
    <w:p w14:paraId="16F2A1FE" w14:textId="77777777" w:rsidR="00171703" w:rsidRPr="00876B4D" w:rsidRDefault="00171703" w:rsidP="000038EC">
      <w:pPr>
        <w:pStyle w:val="ListParagraph"/>
        <w:jc w:val="both"/>
        <w:rPr>
          <w:sz w:val="22"/>
          <w:szCs w:val="22"/>
        </w:rPr>
      </w:pPr>
    </w:p>
    <w:p w14:paraId="372FD818" w14:textId="0F3A369B" w:rsidR="00674069" w:rsidRPr="00876B4D" w:rsidRDefault="000038EC" w:rsidP="00674069">
      <w:pPr>
        <w:pStyle w:val="ListParagraph"/>
        <w:numPr>
          <w:ilvl w:val="0"/>
          <w:numId w:val="28"/>
        </w:numPr>
        <w:jc w:val="both"/>
        <w:rPr>
          <w:sz w:val="22"/>
          <w:szCs w:val="22"/>
        </w:rPr>
      </w:pPr>
      <w:r w:rsidRPr="00876B4D">
        <w:rPr>
          <w:b/>
          <w:sz w:val="22"/>
          <w:szCs w:val="22"/>
        </w:rPr>
        <w:t>Administrative Stipend</w:t>
      </w:r>
      <w:r w:rsidR="00876B4D" w:rsidRPr="00876B4D">
        <w:rPr>
          <w:b/>
          <w:sz w:val="22"/>
          <w:szCs w:val="22"/>
        </w:rPr>
        <w:t>: A</w:t>
      </w:r>
      <w:r w:rsidRPr="00876B4D">
        <w:rPr>
          <w:sz w:val="22"/>
          <w:szCs w:val="22"/>
        </w:rPr>
        <w:t xml:space="preserve"> faculty member may </w:t>
      </w:r>
      <w:r w:rsidR="00B372FA" w:rsidRPr="00876B4D">
        <w:rPr>
          <w:sz w:val="22"/>
          <w:szCs w:val="22"/>
        </w:rPr>
        <w:t xml:space="preserve">receive an administrative stipend when </w:t>
      </w:r>
      <w:r w:rsidRPr="00876B4D">
        <w:rPr>
          <w:sz w:val="22"/>
          <w:szCs w:val="22"/>
        </w:rPr>
        <w:t>asked to serve in an administrative capacity tha</w:t>
      </w:r>
      <w:r w:rsidR="00B372FA" w:rsidRPr="00876B4D">
        <w:rPr>
          <w:sz w:val="22"/>
          <w:szCs w:val="22"/>
        </w:rPr>
        <w:t>t exceeds</w:t>
      </w:r>
      <w:r w:rsidRPr="00876B4D">
        <w:rPr>
          <w:sz w:val="22"/>
          <w:szCs w:val="22"/>
        </w:rPr>
        <w:t xml:space="preserve"> </w:t>
      </w:r>
      <w:r w:rsidR="00B372FA" w:rsidRPr="00876B4D">
        <w:rPr>
          <w:sz w:val="22"/>
          <w:szCs w:val="22"/>
        </w:rPr>
        <w:t>their</w:t>
      </w:r>
      <w:r w:rsidRPr="00876B4D">
        <w:rPr>
          <w:sz w:val="22"/>
          <w:szCs w:val="22"/>
        </w:rPr>
        <w:t xml:space="preserve"> normal faculty responsibilities</w:t>
      </w:r>
      <w:r w:rsidR="00674069" w:rsidRPr="00876B4D">
        <w:rPr>
          <w:sz w:val="22"/>
          <w:szCs w:val="22"/>
        </w:rPr>
        <w:t xml:space="preserve"> in lieu of effort with salary support. Faculty </w:t>
      </w:r>
      <w:r w:rsidR="005A1F99" w:rsidRPr="00876B4D">
        <w:rPr>
          <w:sz w:val="22"/>
          <w:szCs w:val="22"/>
        </w:rPr>
        <w:t xml:space="preserve">members </w:t>
      </w:r>
      <w:r w:rsidR="00674069" w:rsidRPr="00876B4D">
        <w:rPr>
          <w:sz w:val="22"/>
          <w:szCs w:val="22"/>
        </w:rPr>
        <w:t>with administrative roles with effort should receive salary support commensurate with their effort.</w:t>
      </w:r>
    </w:p>
    <w:p w14:paraId="3356EBF3" w14:textId="4ADA63B4" w:rsidR="00B372FA" w:rsidRPr="00876B4D" w:rsidRDefault="00B372FA" w:rsidP="00674069">
      <w:pPr>
        <w:pStyle w:val="ListParagraph"/>
        <w:numPr>
          <w:ilvl w:val="0"/>
          <w:numId w:val="32"/>
        </w:numPr>
        <w:jc w:val="both"/>
        <w:rPr>
          <w:sz w:val="22"/>
          <w:szCs w:val="22"/>
        </w:rPr>
      </w:pPr>
      <w:r w:rsidRPr="00876B4D">
        <w:rPr>
          <w:sz w:val="22"/>
          <w:szCs w:val="22"/>
        </w:rPr>
        <w:t xml:space="preserve">Administrative role, responsibilities and goals must be </w:t>
      </w:r>
      <w:r w:rsidR="000038EC" w:rsidRPr="00876B4D">
        <w:rPr>
          <w:sz w:val="22"/>
          <w:szCs w:val="22"/>
        </w:rPr>
        <w:t>clearly delineated with a formal job description.  The job description will define the percentage of total effort the faculty member will be required to devote to the defined duties</w:t>
      </w:r>
      <w:r w:rsidRPr="00876B4D">
        <w:rPr>
          <w:sz w:val="22"/>
          <w:szCs w:val="22"/>
        </w:rPr>
        <w:t>.</w:t>
      </w:r>
      <w:r w:rsidR="000038EC" w:rsidRPr="00876B4D">
        <w:rPr>
          <w:sz w:val="22"/>
          <w:szCs w:val="22"/>
        </w:rPr>
        <w:t xml:space="preserve"> </w:t>
      </w:r>
    </w:p>
    <w:p w14:paraId="1DB8CE19" w14:textId="7A74C4A6" w:rsidR="00B372FA" w:rsidRPr="00876B4D" w:rsidRDefault="005A1F99" w:rsidP="00B372FA">
      <w:pPr>
        <w:pStyle w:val="ListParagraph"/>
        <w:numPr>
          <w:ilvl w:val="0"/>
          <w:numId w:val="26"/>
        </w:numPr>
        <w:jc w:val="both"/>
        <w:rPr>
          <w:sz w:val="22"/>
          <w:szCs w:val="22"/>
        </w:rPr>
      </w:pPr>
      <w:r w:rsidRPr="00876B4D">
        <w:rPr>
          <w:sz w:val="22"/>
          <w:szCs w:val="22"/>
        </w:rPr>
        <w:t xml:space="preserve">For faculty with administrative roles with salary support, the administrative stipend should be broken out separately in the annual salary letter as a component of Total Target Compensation.  </w:t>
      </w:r>
      <w:r w:rsidR="00B372FA" w:rsidRPr="00876B4D">
        <w:rPr>
          <w:sz w:val="22"/>
          <w:szCs w:val="22"/>
        </w:rPr>
        <w:t>A</w:t>
      </w:r>
      <w:r w:rsidR="000038EC" w:rsidRPr="00876B4D">
        <w:rPr>
          <w:sz w:val="22"/>
          <w:szCs w:val="22"/>
        </w:rPr>
        <w:t xml:space="preserve"> source of funding for the Administrative Stipend will be identified (e.g., Department,</w:t>
      </w:r>
      <w:r w:rsidR="00B372FA" w:rsidRPr="00876B4D">
        <w:rPr>
          <w:sz w:val="22"/>
          <w:szCs w:val="22"/>
        </w:rPr>
        <w:t xml:space="preserve"> Division,</w:t>
      </w:r>
      <w:r w:rsidR="000038EC" w:rsidRPr="00876B4D">
        <w:rPr>
          <w:sz w:val="22"/>
          <w:szCs w:val="22"/>
        </w:rPr>
        <w:t xml:space="preserve"> Hospitals, </w:t>
      </w:r>
      <w:r w:rsidR="00B372FA" w:rsidRPr="00876B4D">
        <w:rPr>
          <w:sz w:val="22"/>
          <w:szCs w:val="22"/>
        </w:rPr>
        <w:t>P</w:t>
      </w:r>
      <w:r w:rsidR="000038EC" w:rsidRPr="00876B4D">
        <w:rPr>
          <w:sz w:val="22"/>
          <w:szCs w:val="22"/>
        </w:rPr>
        <w:t xml:space="preserve">SOM, </w:t>
      </w:r>
      <w:r w:rsidR="00B372FA" w:rsidRPr="00876B4D">
        <w:rPr>
          <w:sz w:val="22"/>
          <w:szCs w:val="22"/>
        </w:rPr>
        <w:t xml:space="preserve">UPHS, </w:t>
      </w:r>
      <w:r w:rsidR="000038EC" w:rsidRPr="00876B4D">
        <w:rPr>
          <w:sz w:val="22"/>
          <w:szCs w:val="22"/>
        </w:rPr>
        <w:t xml:space="preserve">or outside entity). </w:t>
      </w:r>
    </w:p>
    <w:p w14:paraId="3C999E7C" w14:textId="1D317779" w:rsidR="000038EC" w:rsidRPr="00876B4D" w:rsidRDefault="00B372FA" w:rsidP="00B372FA">
      <w:pPr>
        <w:pStyle w:val="ListParagraph"/>
        <w:numPr>
          <w:ilvl w:val="0"/>
          <w:numId w:val="26"/>
        </w:numPr>
        <w:jc w:val="both"/>
        <w:rPr>
          <w:sz w:val="22"/>
          <w:szCs w:val="22"/>
        </w:rPr>
      </w:pPr>
      <w:r w:rsidRPr="00876B4D">
        <w:rPr>
          <w:sz w:val="22"/>
          <w:szCs w:val="22"/>
        </w:rPr>
        <w:t>The</w:t>
      </w:r>
      <w:r w:rsidR="000038EC" w:rsidRPr="00876B4D">
        <w:rPr>
          <w:sz w:val="22"/>
          <w:szCs w:val="22"/>
        </w:rPr>
        <w:t xml:space="preserve"> stipend will end when the faculty member ceases to serve in that administrative capacity, or by the decision of the Department Chair.</w:t>
      </w:r>
    </w:p>
    <w:p w14:paraId="6C61C081" w14:textId="77777777" w:rsidR="000038EC" w:rsidRPr="00876B4D" w:rsidRDefault="000038EC" w:rsidP="000038EC">
      <w:pPr>
        <w:jc w:val="both"/>
        <w:rPr>
          <w:sz w:val="22"/>
          <w:szCs w:val="22"/>
        </w:rPr>
      </w:pPr>
    </w:p>
    <w:p w14:paraId="425CC7FE" w14:textId="4FC3D60C" w:rsidR="000038EC" w:rsidRPr="00876B4D" w:rsidRDefault="00C0581F" w:rsidP="00C0581F">
      <w:pPr>
        <w:pStyle w:val="ListParagraph"/>
        <w:numPr>
          <w:ilvl w:val="0"/>
          <w:numId w:val="28"/>
        </w:numPr>
        <w:jc w:val="both"/>
        <w:rPr>
          <w:sz w:val="22"/>
          <w:szCs w:val="22"/>
        </w:rPr>
      </w:pPr>
      <w:r w:rsidRPr="00876B4D">
        <w:rPr>
          <w:b/>
          <w:sz w:val="22"/>
          <w:szCs w:val="22"/>
        </w:rPr>
        <w:t>Additional Pay:</w:t>
      </w:r>
      <w:r w:rsidRPr="00876B4D">
        <w:rPr>
          <w:rFonts w:eastAsiaTheme="minorEastAsia"/>
          <w:color w:val="000000"/>
          <w:kern w:val="24"/>
          <w:sz w:val="22"/>
          <w:szCs w:val="22"/>
        </w:rPr>
        <w:t xml:space="preserve"> Faculty may receive additional compensation </w:t>
      </w:r>
      <w:r w:rsidRPr="00876B4D">
        <w:rPr>
          <w:sz w:val="22"/>
          <w:szCs w:val="22"/>
        </w:rPr>
        <w:t xml:space="preserve">for clinical work </w:t>
      </w:r>
      <w:proofErr w:type="gramStart"/>
      <w:r w:rsidRPr="00876B4D">
        <w:rPr>
          <w:sz w:val="22"/>
          <w:szCs w:val="22"/>
        </w:rPr>
        <w:t>in excess of</w:t>
      </w:r>
      <w:proofErr w:type="gramEnd"/>
      <w:r w:rsidRPr="00876B4D">
        <w:rPr>
          <w:sz w:val="22"/>
          <w:szCs w:val="22"/>
        </w:rPr>
        <w:t xml:space="preserve"> </w:t>
      </w:r>
      <w:proofErr w:type="spellStart"/>
      <w:r w:rsidRPr="00876B4D">
        <w:rPr>
          <w:sz w:val="22"/>
          <w:szCs w:val="22"/>
        </w:rPr>
        <w:t>cFTE</w:t>
      </w:r>
      <w:proofErr w:type="spellEnd"/>
      <w:r w:rsidRPr="00876B4D">
        <w:rPr>
          <w:sz w:val="22"/>
          <w:szCs w:val="22"/>
        </w:rPr>
        <w:t xml:space="preserve"> such as moonlighting, additional shifts, weekend or night coverage, etc.</w:t>
      </w:r>
    </w:p>
    <w:p w14:paraId="72D4FD95" w14:textId="77777777" w:rsidR="00C0581F" w:rsidRPr="00876B4D" w:rsidRDefault="00C0581F" w:rsidP="00C0581F">
      <w:pPr>
        <w:jc w:val="both"/>
        <w:rPr>
          <w:b/>
          <w:sz w:val="22"/>
          <w:szCs w:val="22"/>
        </w:rPr>
      </w:pPr>
    </w:p>
    <w:p w14:paraId="3DF5F025" w14:textId="698ADFF5" w:rsidR="00C0581F" w:rsidRPr="00876B4D" w:rsidRDefault="004543B0" w:rsidP="000038EC">
      <w:pPr>
        <w:jc w:val="both"/>
        <w:rPr>
          <w:b/>
          <w:sz w:val="22"/>
          <w:szCs w:val="22"/>
        </w:rPr>
      </w:pPr>
      <w:r w:rsidRPr="00876B4D">
        <w:rPr>
          <w:b/>
          <w:sz w:val="22"/>
          <w:szCs w:val="22"/>
        </w:rPr>
        <w:t xml:space="preserve">CALCULATION AND </w:t>
      </w:r>
      <w:r w:rsidR="000038EC" w:rsidRPr="00876B4D">
        <w:rPr>
          <w:b/>
          <w:sz w:val="22"/>
          <w:szCs w:val="22"/>
        </w:rPr>
        <w:t>PAYMENT OF INCENTIVES</w:t>
      </w:r>
    </w:p>
    <w:p w14:paraId="69C6B30D" w14:textId="7EA5E959" w:rsidR="000038EC" w:rsidRPr="00876B4D" w:rsidRDefault="00C47870" w:rsidP="000038EC">
      <w:pPr>
        <w:jc w:val="both"/>
        <w:rPr>
          <w:sz w:val="22"/>
          <w:szCs w:val="22"/>
        </w:rPr>
      </w:pPr>
      <w:r w:rsidRPr="00876B4D">
        <w:rPr>
          <w:b/>
          <w:sz w:val="22"/>
          <w:szCs w:val="22"/>
        </w:rPr>
        <w:t>Eligibility and Requirement for Incentive Payout</w:t>
      </w:r>
      <w:r w:rsidR="000038EC" w:rsidRPr="00876B4D">
        <w:rPr>
          <w:b/>
          <w:sz w:val="22"/>
          <w:szCs w:val="22"/>
        </w:rPr>
        <w:t>:</w:t>
      </w:r>
    </w:p>
    <w:p w14:paraId="06CFD716" w14:textId="03D799C0" w:rsidR="000038EC" w:rsidRPr="00876B4D" w:rsidRDefault="000038EC" w:rsidP="000038EC">
      <w:pPr>
        <w:rPr>
          <w:sz w:val="22"/>
          <w:szCs w:val="22"/>
        </w:rPr>
      </w:pPr>
      <w:proofErr w:type="gramStart"/>
      <w:r w:rsidRPr="00876B4D">
        <w:rPr>
          <w:sz w:val="22"/>
          <w:szCs w:val="22"/>
        </w:rPr>
        <w:t>In order for</w:t>
      </w:r>
      <w:proofErr w:type="gramEnd"/>
      <w:r w:rsidRPr="00876B4D">
        <w:rPr>
          <w:sz w:val="22"/>
          <w:szCs w:val="22"/>
        </w:rPr>
        <w:t xml:space="preserve"> the faculty members of the Department to be eligible </w:t>
      </w:r>
      <w:r w:rsidR="00C47870" w:rsidRPr="00876B4D">
        <w:rPr>
          <w:sz w:val="22"/>
          <w:szCs w:val="22"/>
        </w:rPr>
        <w:t>and receive</w:t>
      </w:r>
      <w:r w:rsidRPr="00876B4D">
        <w:rPr>
          <w:sz w:val="22"/>
          <w:szCs w:val="22"/>
        </w:rPr>
        <w:t xml:space="preserve"> Incentive Compensation:</w:t>
      </w:r>
    </w:p>
    <w:p w14:paraId="6E7B26E7" w14:textId="1B31015D" w:rsidR="000038EC" w:rsidRPr="00876B4D" w:rsidRDefault="000038EC" w:rsidP="00C47870">
      <w:pPr>
        <w:pStyle w:val="MediumGrid21"/>
        <w:numPr>
          <w:ilvl w:val="0"/>
          <w:numId w:val="9"/>
        </w:numPr>
        <w:rPr>
          <w:rFonts w:ascii="Times New Roman" w:hAnsi="Times New Roman"/>
        </w:rPr>
      </w:pPr>
      <w:r w:rsidRPr="00876B4D">
        <w:rPr>
          <w:rFonts w:ascii="Times New Roman" w:hAnsi="Times New Roman"/>
        </w:rPr>
        <w:t>The Department</w:t>
      </w:r>
      <w:r w:rsidR="00C47870" w:rsidRPr="00876B4D">
        <w:rPr>
          <w:rFonts w:ascii="Times New Roman" w:hAnsi="Times New Roman"/>
        </w:rPr>
        <w:t>/Division</w:t>
      </w:r>
      <w:r w:rsidRPr="00876B4D">
        <w:rPr>
          <w:rFonts w:ascii="Times New Roman" w:hAnsi="Times New Roman"/>
        </w:rPr>
        <w:t xml:space="preserve"> must </w:t>
      </w:r>
      <w:r w:rsidR="00C47870" w:rsidRPr="00876B4D">
        <w:rPr>
          <w:rFonts w:ascii="Times New Roman" w:hAnsi="Times New Roman"/>
        </w:rPr>
        <w:t xml:space="preserve">have a positive </w:t>
      </w:r>
      <w:r w:rsidR="00C47870" w:rsidRPr="00876B4D">
        <w:rPr>
          <w:rFonts w:ascii="Times New Roman" w:hAnsi="Times New Roman"/>
          <w:u w:val="single"/>
        </w:rPr>
        <w:t>net</w:t>
      </w:r>
      <w:r w:rsidR="00C47870" w:rsidRPr="00876B4D">
        <w:rPr>
          <w:rFonts w:ascii="Times New Roman" w:hAnsi="Times New Roman"/>
        </w:rPr>
        <w:t xml:space="preserve"> operating margin or meet its budgeted </w:t>
      </w:r>
      <w:r w:rsidR="00C47870" w:rsidRPr="00876B4D">
        <w:rPr>
          <w:rFonts w:ascii="Times New Roman" w:hAnsi="Times New Roman"/>
          <w:u w:val="single"/>
        </w:rPr>
        <w:t>net</w:t>
      </w:r>
      <w:r w:rsidR="00C47870" w:rsidRPr="00876B4D">
        <w:rPr>
          <w:rFonts w:ascii="Times New Roman" w:hAnsi="Times New Roman"/>
        </w:rPr>
        <w:t xml:space="preserve"> operating margin. </w:t>
      </w:r>
    </w:p>
    <w:p w14:paraId="1AA03CC3" w14:textId="77777777" w:rsidR="00C47870" w:rsidRPr="00876B4D" w:rsidRDefault="00C47870" w:rsidP="00C47870">
      <w:pPr>
        <w:pStyle w:val="MediumGrid21"/>
        <w:numPr>
          <w:ilvl w:val="0"/>
          <w:numId w:val="9"/>
        </w:numPr>
        <w:rPr>
          <w:rFonts w:ascii="Times New Roman" w:hAnsi="Times New Roman"/>
        </w:rPr>
      </w:pPr>
      <w:r w:rsidRPr="00876B4D">
        <w:rPr>
          <w:rFonts w:ascii="Times New Roman" w:hAnsi="Times New Roman"/>
        </w:rPr>
        <w:t>Departments can pay out incentives at a full or pro-rated amount provided they do not fall into a deficit position (negative net operating margin).  </w:t>
      </w:r>
    </w:p>
    <w:p w14:paraId="1047B5B2" w14:textId="77777777" w:rsidR="00C47870" w:rsidRPr="00876B4D" w:rsidRDefault="00C47870" w:rsidP="00C47870">
      <w:pPr>
        <w:pStyle w:val="MediumGrid21"/>
        <w:numPr>
          <w:ilvl w:val="0"/>
          <w:numId w:val="9"/>
        </w:numPr>
        <w:rPr>
          <w:rFonts w:ascii="Times New Roman" w:hAnsi="Times New Roman"/>
        </w:rPr>
      </w:pPr>
      <w:r w:rsidRPr="00876B4D">
        <w:rPr>
          <w:rFonts w:ascii="Times New Roman" w:hAnsi="Times New Roman"/>
        </w:rPr>
        <w:t>Exception requests will be considered if additional funding sources are available and with the approval of the CFO and SVP, CPUP.</w:t>
      </w:r>
    </w:p>
    <w:p w14:paraId="6BCD8A21" w14:textId="7E4049BF" w:rsidR="00C47870" w:rsidRPr="00876B4D" w:rsidRDefault="00C47870" w:rsidP="00C47870">
      <w:pPr>
        <w:pStyle w:val="MediumGrid21"/>
        <w:numPr>
          <w:ilvl w:val="0"/>
          <w:numId w:val="9"/>
        </w:numPr>
        <w:rPr>
          <w:rFonts w:ascii="Times New Roman" w:hAnsi="Times New Roman"/>
        </w:rPr>
      </w:pPr>
      <w:r w:rsidRPr="00876B4D">
        <w:rPr>
          <w:rFonts w:ascii="Times New Roman" w:hAnsi="Times New Roman"/>
        </w:rPr>
        <w:t>Physicians who fail to meet their annual clinical productivity goals will not be eligible for the </w:t>
      </w:r>
      <w:r w:rsidRPr="00876B4D">
        <w:rPr>
          <w:rFonts w:ascii="Times New Roman" w:hAnsi="Times New Roman"/>
          <w:u w:val="single"/>
        </w:rPr>
        <w:t>clinical component</w:t>
      </w:r>
      <w:r w:rsidRPr="00876B4D">
        <w:rPr>
          <w:rFonts w:ascii="Times New Roman" w:hAnsi="Times New Roman"/>
        </w:rPr>
        <w:t> of their incentive payout.</w:t>
      </w:r>
    </w:p>
    <w:p w14:paraId="059069CD" w14:textId="77777777" w:rsidR="000038EC" w:rsidRPr="00876B4D" w:rsidRDefault="000038EC" w:rsidP="000038EC">
      <w:pPr>
        <w:pStyle w:val="MediumGrid21"/>
        <w:numPr>
          <w:ilvl w:val="0"/>
          <w:numId w:val="9"/>
        </w:numPr>
        <w:rPr>
          <w:rFonts w:ascii="Times New Roman" w:hAnsi="Times New Roman"/>
        </w:rPr>
      </w:pPr>
      <w:r w:rsidRPr="00876B4D">
        <w:rPr>
          <w:rFonts w:ascii="Times New Roman" w:hAnsi="Times New Roman"/>
        </w:rPr>
        <w:t>The individual faculty member must be a member of good standing in the Department, such standing to be determined by the Chair.  Factors to be considered include compliance with institutional and departmental policies, meeting expectations for professional behavior, and generally completing academic and clinical responsibilities at or above expected levels.</w:t>
      </w:r>
    </w:p>
    <w:p w14:paraId="103796F2" w14:textId="77777777" w:rsidR="000038EC" w:rsidRPr="00876B4D" w:rsidRDefault="000038EC" w:rsidP="000038EC">
      <w:pPr>
        <w:pStyle w:val="MediumGrid21"/>
        <w:numPr>
          <w:ilvl w:val="0"/>
          <w:numId w:val="9"/>
        </w:numPr>
        <w:rPr>
          <w:rFonts w:ascii="Times New Roman" w:hAnsi="Times New Roman"/>
        </w:rPr>
      </w:pPr>
      <w:r w:rsidRPr="00876B4D">
        <w:rPr>
          <w:rFonts w:ascii="Times New Roman" w:hAnsi="Times New Roman"/>
        </w:rPr>
        <w:lastRenderedPageBreak/>
        <w:t xml:space="preserve">See below for further information regarding faculty members not employed on the date incentive is to be paid.   </w:t>
      </w:r>
    </w:p>
    <w:p w14:paraId="74A2F891" w14:textId="22141CAB" w:rsidR="000038EC" w:rsidRPr="00876B4D" w:rsidRDefault="000038EC" w:rsidP="000038EC">
      <w:pPr>
        <w:jc w:val="both"/>
        <w:rPr>
          <w:sz w:val="22"/>
          <w:szCs w:val="22"/>
        </w:rPr>
      </w:pPr>
    </w:p>
    <w:p w14:paraId="789C9BEB" w14:textId="57C68946" w:rsidR="004543B0" w:rsidRPr="00876B4D" w:rsidRDefault="004543B0" w:rsidP="000038EC">
      <w:pPr>
        <w:jc w:val="both"/>
        <w:rPr>
          <w:b/>
          <w:sz w:val="22"/>
          <w:szCs w:val="22"/>
        </w:rPr>
      </w:pPr>
      <w:r w:rsidRPr="00876B4D">
        <w:rPr>
          <w:b/>
          <w:sz w:val="22"/>
          <w:szCs w:val="22"/>
        </w:rPr>
        <w:t>Payout Schedules:</w:t>
      </w:r>
    </w:p>
    <w:p w14:paraId="2B26B79B" w14:textId="07E98DD0" w:rsidR="000038EC" w:rsidRPr="00876B4D" w:rsidRDefault="000038EC" w:rsidP="000038EC">
      <w:pPr>
        <w:jc w:val="both"/>
        <w:rPr>
          <w:sz w:val="22"/>
          <w:szCs w:val="22"/>
        </w:rPr>
      </w:pPr>
      <w:r w:rsidRPr="00876B4D">
        <w:rPr>
          <w:sz w:val="22"/>
          <w:szCs w:val="22"/>
        </w:rPr>
        <w:t xml:space="preserve">The payment of incentive compensation </w:t>
      </w:r>
      <w:r w:rsidR="004543B0" w:rsidRPr="00876B4D">
        <w:rPr>
          <w:sz w:val="22"/>
          <w:szCs w:val="22"/>
        </w:rPr>
        <w:t>should</w:t>
      </w:r>
      <w:r w:rsidRPr="00876B4D">
        <w:rPr>
          <w:sz w:val="22"/>
          <w:szCs w:val="22"/>
        </w:rPr>
        <w:t xml:space="preserve"> occur at least semi-annually provided the department is projecting to meet its budgeted operating margin.  The faculty member will receive a portion of his or her target incentive amount mid-year</w:t>
      </w:r>
      <w:r w:rsidR="004543B0" w:rsidRPr="00876B4D">
        <w:rPr>
          <w:sz w:val="22"/>
          <w:szCs w:val="22"/>
        </w:rPr>
        <w:t xml:space="preserve"> or quarterly</w:t>
      </w:r>
      <w:r w:rsidRPr="00876B4D">
        <w:rPr>
          <w:sz w:val="22"/>
          <w:szCs w:val="22"/>
        </w:rPr>
        <w:t xml:space="preserve"> provided they </w:t>
      </w:r>
      <w:r w:rsidR="00876B4D" w:rsidRPr="00876B4D">
        <w:rPr>
          <w:sz w:val="22"/>
          <w:szCs w:val="22"/>
        </w:rPr>
        <w:t>meet</w:t>
      </w:r>
      <w:r w:rsidRPr="00876B4D">
        <w:rPr>
          <w:sz w:val="22"/>
          <w:szCs w:val="22"/>
        </w:rPr>
        <w:t xml:space="preserve"> their mid-year productivity goals.  The incentive payout may be adjusted based on productivity. At the end of the fiscal year, the individual faculty member incentive will be calculated based on actual performance and final incentive payment will be paid </w:t>
      </w:r>
      <w:r w:rsidR="004543B0" w:rsidRPr="00876B4D">
        <w:rPr>
          <w:sz w:val="22"/>
          <w:szCs w:val="22"/>
        </w:rPr>
        <w:t>no later than</w:t>
      </w:r>
      <w:r w:rsidRPr="00876B4D">
        <w:rPr>
          <w:sz w:val="22"/>
          <w:szCs w:val="22"/>
        </w:rPr>
        <w:t xml:space="preserve"> September</w:t>
      </w:r>
      <w:r w:rsidR="004543B0" w:rsidRPr="00876B4D">
        <w:rPr>
          <w:sz w:val="22"/>
          <w:szCs w:val="22"/>
        </w:rPr>
        <w:t xml:space="preserve"> of the next fiscal year</w:t>
      </w:r>
      <w:r w:rsidRPr="00876B4D">
        <w:rPr>
          <w:sz w:val="22"/>
          <w:szCs w:val="22"/>
        </w:rPr>
        <w:t>.</w:t>
      </w:r>
    </w:p>
    <w:p w14:paraId="075E8290" w14:textId="77777777" w:rsidR="000038EC" w:rsidRPr="00876B4D" w:rsidRDefault="000038EC" w:rsidP="000038EC">
      <w:pPr>
        <w:jc w:val="both"/>
        <w:rPr>
          <w:sz w:val="22"/>
          <w:szCs w:val="22"/>
        </w:rPr>
      </w:pPr>
    </w:p>
    <w:p w14:paraId="4FC38C34" w14:textId="77777777" w:rsidR="000038EC" w:rsidRPr="00876B4D" w:rsidRDefault="000038EC" w:rsidP="000038EC">
      <w:pPr>
        <w:jc w:val="both"/>
        <w:rPr>
          <w:b/>
          <w:sz w:val="22"/>
          <w:szCs w:val="22"/>
        </w:rPr>
      </w:pPr>
      <w:r w:rsidRPr="00876B4D">
        <w:rPr>
          <w:b/>
          <w:sz w:val="22"/>
          <w:szCs w:val="22"/>
        </w:rPr>
        <w:t>Reporting:</w:t>
      </w:r>
    </w:p>
    <w:p w14:paraId="1BE68215" w14:textId="52AB13A6" w:rsidR="000038EC" w:rsidRPr="00876B4D" w:rsidRDefault="000038EC" w:rsidP="000038EC">
      <w:pPr>
        <w:jc w:val="both"/>
        <w:rPr>
          <w:sz w:val="22"/>
          <w:szCs w:val="22"/>
        </w:rPr>
      </w:pPr>
      <w:r w:rsidRPr="00876B4D">
        <w:rPr>
          <w:sz w:val="22"/>
          <w:szCs w:val="22"/>
        </w:rPr>
        <w:t xml:space="preserve">Departments should communicate monthly or </w:t>
      </w:r>
      <w:r w:rsidR="00876B4D" w:rsidRPr="00876B4D">
        <w:rPr>
          <w:sz w:val="22"/>
          <w:szCs w:val="22"/>
        </w:rPr>
        <w:t>quarterly or</w:t>
      </w:r>
      <w:r w:rsidRPr="00876B4D">
        <w:rPr>
          <w:sz w:val="22"/>
          <w:szCs w:val="22"/>
        </w:rPr>
        <w:t xml:space="preserve"> provide dashboards to faculty members to track clinical incentive metrics throughout the year and </w:t>
      </w:r>
      <w:proofErr w:type="gramStart"/>
      <w:r w:rsidRPr="00876B4D">
        <w:rPr>
          <w:sz w:val="22"/>
          <w:szCs w:val="22"/>
        </w:rPr>
        <w:t>delineating</w:t>
      </w:r>
      <w:proofErr w:type="gramEnd"/>
      <w:r w:rsidRPr="00876B4D">
        <w:rPr>
          <w:sz w:val="22"/>
          <w:szCs w:val="22"/>
        </w:rPr>
        <w:t xml:space="preserve"> their progress towards meeting or exceeding their incentive targets.  In addition, quarterly or semi-annual reports should be reviewed by the Chair (or their designate), COO and Division Chiefs or Program Directors.  Division Chiefs or Program Directors are responsible for reviewing targets and performance with individual faculty members.  </w:t>
      </w:r>
    </w:p>
    <w:p w14:paraId="75191546" w14:textId="77777777" w:rsidR="000038EC" w:rsidRPr="00876B4D" w:rsidRDefault="000038EC" w:rsidP="000038EC">
      <w:pPr>
        <w:ind w:left="360"/>
        <w:jc w:val="both"/>
        <w:rPr>
          <w:sz w:val="22"/>
          <w:szCs w:val="22"/>
        </w:rPr>
      </w:pPr>
    </w:p>
    <w:p w14:paraId="5E5220BA" w14:textId="77777777" w:rsidR="000038EC" w:rsidRPr="00876B4D" w:rsidRDefault="000038EC" w:rsidP="000038EC">
      <w:pPr>
        <w:jc w:val="both"/>
        <w:rPr>
          <w:b/>
          <w:sz w:val="22"/>
          <w:szCs w:val="22"/>
        </w:rPr>
      </w:pPr>
      <w:r w:rsidRPr="00876B4D">
        <w:rPr>
          <w:b/>
          <w:sz w:val="22"/>
          <w:szCs w:val="22"/>
        </w:rPr>
        <w:t>Absences:</w:t>
      </w:r>
    </w:p>
    <w:p w14:paraId="1980A8E2" w14:textId="77777777" w:rsidR="000038EC" w:rsidRPr="00876B4D" w:rsidRDefault="000038EC" w:rsidP="000038EC">
      <w:pPr>
        <w:jc w:val="both"/>
        <w:rPr>
          <w:sz w:val="22"/>
          <w:szCs w:val="22"/>
        </w:rPr>
      </w:pPr>
    </w:p>
    <w:p w14:paraId="77DB9454" w14:textId="77147392" w:rsidR="000038EC" w:rsidRPr="00876B4D" w:rsidRDefault="009A491C" w:rsidP="000038EC">
      <w:pPr>
        <w:jc w:val="both"/>
        <w:rPr>
          <w:sz w:val="22"/>
          <w:szCs w:val="22"/>
        </w:rPr>
      </w:pPr>
      <w:r w:rsidRPr="00876B4D">
        <w:rPr>
          <w:sz w:val="22"/>
          <w:szCs w:val="22"/>
        </w:rPr>
        <w:t xml:space="preserve">For faculty members on </w:t>
      </w:r>
      <w:r w:rsidR="00876B4D" w:rsidRPr="00876B4D">
        <w:rPr>
          <w:sz w:val="22"/>
          <w:szCs w:val="22"/>
        </w:rPr>
        <w:t>approved</w:t>
      </w:r>
      <w:r w:rsidRPr="00876B4D">
        <w:rPr>
          <w:sz w:val="22"/>
          <w:szCs w:val="22"/>
        </w:rPr>
        <w:t xml:space="preserve"> FMLA/disability leave, </w:t>
      </w:r>
      <w:r w:rsidR="000038EC" w:rsidRPr="00876B4D">
        <w:rPr>
          <w:sz w:val="22"/>
          <w:szCs w:val="22"/>
        </w:rPr>
        <w:t>incentive opportunity and productivity metrics will be prorated according to the CPUP Faculty Paid Time Off and Leave Policy (attached).  Faculty members are not eligible for an incentive during sabbatical, voluntary leave of absence, or leave from clinical activity.  Compensation arrangements during approved personal leaves not otherwise covered by policy shall be subject to the Department Chair’s reasonable discretion and CPUP approval and should be outlined in writing to the faculty at or before the time the leave begins.</w:t>
      </w:r>
    </w:p>
    <w:p w14:paraId="4CCB8712" w14:textId="77777777" w:rsidR="00C0581F" w:rsidRPr="00876B4D" w:rsidRDefault="00C0581F" w:rsidP="000038EC">
      <w:pPr>
        <w:jc w:val="both"/>
        <w:rPr>
          <w:sz w:val="22"/>
          <w:szCs w:val="22"/>
        </w:rPr>
      </w:pPr>
    </w:p>
    <w:p w14:paraId="63CD71BB" w14:textId="77777777" w:rsidR="000038EC" w:rsidRPr="00876B4D" w:rsidRDefault="000038EC" w:rsidP="000038EC">
      <w:pPr>
        <w:jc w:val="both"/>
        <w:rPr>
          <w:b/>
          <w:bCs/>
          <w:sz w:val="22"/>
          <w:szCs w:val="22"/>
        </w:rPr>
      </w:pPr>
      <w:bookmarkStart w:id="3" w:name="_Hlk122411562"/>
      <w:r w:rsidRPr="00876B4D">
        <w:rPr>
          <w:b/>
          <w:bCs/>
          <w:sz w:val="22"/>
          <w:szCs w:val="22"/>
        </w:rPr>
        <w:t>Lactation Support:</w:t>
      </w:r>
    </w:p>
    <w:p w14:paraId="5B90ED4C" w14:textId="77777777" w:rsidR="000038EC" w:rsidRPr="00876B4D" w:rsidRDefault="000038EC" w:rsidP="000038EC">
      <w:pPr>
        <w:jc w:val="both"/>
        <w:rPr>
          <w:sz w:val="22"/>
          <w:szCs w:val="22"/>
        </w:rPr>
      </w:pPr>
      <w:r w:rsidRPr="00876B4D">
        <w:rPr>
          <w:sz w:val="22"/>
          <w:szCs w:val="22"/>
        </w:rPr>
        <w:t xml:space="preserve">The incentive opportunity for a faculty member requesting a reduction in clinical effort of up to 30 minutes per 4-hour clinical session or the equivalent of 0.00125 </w:t>
      </w:r>
      <w:proofErr w:type="spellStart"/>
      <w:r w:rsidRPr="00876B4D">
        <w:rPr>
          <w:sz w:val="22"/>
          <w:szCs w:val="22"/>
        </w:rPr>
        <w:t>cFTE</w:t>
      </w:r>
      <w:proofErr w:type="spellEnd"/>
      <w:r w:rsidRPr="00876B4D">
        <w:rPr>
          <w:sz w:val="22"/>
          <w:szCs w:val="22"/>
        </w:rPr>
        <w:t xml:space="preserve"> per session to support lactation after the birth of a child should not be reduced.  </w:t>
      </w:r>
    </w:p>
    <w:p w14:paraId="61EC58B2" w14:textId="77777777" w:rsidR="000038EC" w:rsidRPr="00876B4D" w:rsidRDefault="000038EC" w:rsidP="000038EC">
      <w:pPr>
        <w:jc w:val="both"/>
        <w:rPr>
          <w:sz w:val="22"/>
          <w:szCs w:val="22"/>
        </w:rPr>
      </w:pPr>
    </w:p>
    <w:p w14:paraId="43138792" w14:textId="77777777" w:rsidR="000038EC" w:rsidRPr="00876B4D" w:rsidRDefault="000038EC" w:rsidP="000038EC">
      <w:pPr>
        <w:jc w:val="both"/>
        <w:rPr>
          <w:sz w:val="22"/>
          <w:szCs w:val="22"/>
        </w:rPr>
      </w:pPr>
      <w:bookmarkStart w:id="4" w:name="_Hlk122411575"/>
      <w:bookmarkEnd w:id="3"/>
      <w:r w:rsidRPr="00876B4D">
        <w:rPr>
          <w:sz w:val="22"/>
          <w:szCs w:val="22"/>
        </w:rPr>
        <w:t xml:space="preserve">RVU expectations should be adjusted for the reduction in </w:t>
      </w:r>
      <w:proofErr w:type="spellStart"/>
      <w:r w:rsidRPr="00876B4D">
        <w:rPr>
          <w:sz w:val="22"/>
          <w:szCs w:val="22"/>
        </w:rPr>
        <w:t>cFTE</w:t>
      </w:r>
      <w:proofErr w:type="spellEnd"/>
      <w:r w:rsidRPr="00876B4D">
        <w:rPr>
          <w:sz w:val="22"/>
          <w:szCs w:val="22"/>
        </w:rPr>
        <w:t xml:space="preserve"> based on the number of sessions/week and duration of lactation not to exceed 12 months since the birth of a child.</w:t>
      </w:r>
    </w:p>
    <w:bookmarkEnd w:id="4"/>
    <w:p w14:paraId="5F44BCE3" w14:textId="77777777" w:rsidR="000038EC" w:rsidRPr="00876B4D" w:rsidRDefault="000038EC" w:rsidP="000038EC">
      <w:pPr>
        <w:ind w:left="360"/>
        <w:jc w:val="both"/>
        <w:rPr>
          <w:sz w:val="22"/>
          <w:szCs w:val="22"/>
        </w:rPr>
      </w:pPr>
    </w:p>
    <w:p w14:paraId="6B0F29ED" w14:textId="77777777" w:rsidR="000038EC" w:rsidRPr="00876B4D" w:rsidRDefault="000038EC" w:rsidP="000038EC">
      <w:pPr>
        <w:jc w:val="both"/>
        <w:rPr>
          <w:b/>
          <w:sz w:val="22"/>
          <w:szCs w:val="22"/>
        </w:rPr>
      </w:pPr>
      <w:r w:rsidRPr="00876B4D">
        <w:rPr>
          <w:b/>
          <w:sz w:val="22"/>
          <w:szCs w:val="22"/>
        </w:rPr>
        <w:t>Eligibility to Receive Incentive Compensation Pending Termination:</w:t>
      </w:r>
    </w:p>
    <w:p w14:paraId="3FC864A8" w14:textId="0F78F2E6" w:rsidR="000038EC" w:rsidRPr="00876B4D" w:rsidRDefault="000038EC" w:rsidP="000038EC">
      <w:pPr>
        <w:rPr>
          <w:sz w:val="22"/>
          <w:szCs w:val="22"/>
        </w:rPr>
      </w:pPr>
      <w:proofErr w:type="gramStart"/>
      <w:r w:rsidRPr="00876B4D">
        <w:rPr>
          <w:sz w:val="22"/>
          <w:szCs w:val="22"/>
        </w:rPr>
        <w:t>In the event that</w:t>
      </w:r>
      <w:proofErr w:type="gramEnd"/>
      <w:r w:rsidRPr="00876B4D">
        <w:rPr>
          <w:sz w:val="22"/>
          <w:szCs w:val="22"/>
        </w:rPr>
        <w:t xml:space="preserve"> a </w:t>
      </w:r>
      <w:proofErr w:type="gramStart"/>
      <w:r w:rsidRPr="00876B4D">
        <w:rPr>
          <w:sz w:val="22"/>
          <w:szCs w:val="22"/>
        </w:rPr>
        <w:t>Faculty</w:t>
      </w:r>
      <w:proofErr w:type="gramEnd"/>
      <w:r w:rsidRPr="00876B4D">
        <w:rPr>
          <w:sz w:val="22"/>
          <w:szCs w:val="22"/>
        </w:rPr>
        <w:t xml:space="preserve"> member leaves prior to the end of the fiscal year or at the end of the fiscal year, he/she will receive a prorated portion of </w:t>
      </w:r>
      <w:r w:rsidR="009A491C" w:rsidRPr="00876B4D">
        <w:rPr>
          <w:sz w:val="22"/>
          <w:szCs w:val="22"/>
        </w:rPr>
        <w:t xml:space="preserve">unpaid </w:t>
      </w:r>
      <w:r w:rsidRPr="00876B4D">
        <w:rPr>
          <w:sz w:val="22"/>
          <w:szCs w:val="22"/>
        </w:rPr>
        <w:t xml:space="preserve">Incentive Compensation based on </w:t>
      </w:r>
      <w:r w:rsidR="00876B4D" w:rsidRPr="00876B4D">
        <w:rPr>
          <w:sz w:val="22"/>
          <w:szCs w:val="22"/>
        </w:rPr>
        <w:t>year-to-date</w:t>
      </w:r>
      <w:r w:rsidRPr="00876B4D">
        <w:rPr>
          <w:sz w:val="22"/>
          <w:szCs w:val="22"/>
        </w:rPr>
        <w:t xml:space="preserve"> productivity, provided the following requirements are met: </w:t>
      </w:r>
    </w:p>
    <w:p w14:paraId="05CA48BE" w14:textId="70F41BE4" w:rsidR="000038EC" w:rsidRPr="00876B4D" w:rsidRDefault="000038EC" w:rsidP="000038EC">
      <w:pPr>
        <w:numPr>
          <w:ilvl w:val="0"/>
          <w:numId w:val="3"/>
        </w:numPr>
        <w:jc w:val="both"/>
        <w:rPr>
          <w:sz w:val="22"/>
          <w:szCs w:val="22"/>
        </w:rPr>
      </w:pPr>
      <w:r w:rsidRPr="00876B4D">
        <w:rPr>
          <w:sz w:val="22"/>
          <w:szCs w:val="22"/>
        </w:rPr>
        <w:t xml:space="preserve">Provides at least </w:t>
      </w:r>
      <w:r w:rsidR="00876B4D" w:rsidRPr="00876B4D">
        <w:rPr>
          <w:sz w:val="22"/>
          <w:szCs w:val="22"/>
        </w:rPr>
        <w:t>3 months’ notice</w:t>
      </w:r>
      <w:r w:rsidRPr="00876B4D">
        <w:rPr>
          <w:sz w:val="22"/>
          <w:szCs w:val="22"/>
        </w:rPr>
        <w:t xml:space="preserve"> of intent to leave though 6-</w:t>
      </w:r>
      <w:r w:rsidR="00876B4D" w:rsidRPr="00876B4D">
        <w:rPr>
          <w:sz w:val="22"/>
          <w:szCs w:val="22"/>
        </w:rPr>
        <w:t>months’ notice</w:t>
      </w:r>
      <w:r w:rsidRPr="00876B4D">
        <w:rPr>
          <w:sz w:val="22"/>
          <w:szCs w:val="22"/>
        </w:rPr>
        <w:t xml:space="preserve"> is preferred.</w:t>
      </w:r>
    </w:p>
    <w:p w14:paraId="3C554DFB" w14:textId="77777777" w:rsidR="000038EC" w:rsidRPr="00876B4D" w:rsidRDefault="000038EC" w:rsidP="000038EC">
      <w:pPr>
        <w:numPr>
          <w:ilvl w:val="0"/>
          <w:numId w:val="3"/>
        </w:numPr>
        <w:jc w:val="both"/>
        <w:rPr>
          <w:sz w:val="22"/>
          <w:szCs w:val="22"/>
        </w:rPr>
      </w:pPr>
      <w:r w:rsidRPr="00876B4D">
        <w:rPr>
          <w:sz w:val="22"/>
          <w:szCs w:val="22"/>
        </w:rPr>
        <w:t>Continued clinical productivity to budgeted levels through end of employment.</w:t>
      </w:r>
    </w:p>
    <w:p w14:paraId="2F9D6F6D" w14:textId="77777777" w:rsidR="000038EC" w:rsidRPr="00876B4D" w:rsidRDefault="000038EC" w:rsidP="000038EC">
      <w:pPr>
        <w:numPr>
          <w:ilvl w:val="0"/>
          <w:numId w:val="3"/>
        </w:numPr>
        <w:jc w:val="both"/>
        <w:rPr>
          <w:sz w:val="22"/>
          <w:szCs w:val="22"/>
        </w:rPr>
      </w:pPr>
      <w:r w:rsidRPr="00876B4D">
        <w:rPr>
          <w:sz w:val="22"/>
          <w:szCs w:val="22"/>
        </w:rPr>
        <w:t>Continued completion of all clinical notes and responsibilities in a timely manner.</w:t>
      </w:r>
    </w:p>
    <w:p w14:paraId="45C868E3" w14:textId="77777777" w:rsidR="000038EC" w:rsidRPr="00876B4D" w:rsidRDefault="000038EC" w:rsidP="000038EC">
      <w:pPr>
        <w:numPr>
          <w:ilvl w:val="0"/>
          <w:numId w:val="3"/>
        </w:numPr>
        <w:jc w:val="both"/>
        <w:rPr>
          <w:sz w:val="22"/>
          <w:szCs w:val="22"/>
        </w:rPr>
      </w:pPr>
      <w:r w:rsidRPr="00876B4D">
        <w:rPr>
          <w:sz w:val="22"/>
          <w:szCs w:val="22"/>
        </w:rPr>
        <w:t>Closure of all EPIC encounters prior to the departure date.</w:t>
      </w:r>
    </w:p>
    <w:p w14:paraId="346CA076" w14:textId="77777777" w:rsidR="000038EC" w:rsidRPr="00876B4D" w:rsidRDefault="000038EC" w:rsidP="000038EC">
      <w:pPr>
        <w:numPr>
          <w:ilvl w:val="0"/>
          <w:numId w:val="3"/>
        </w:numPr>
        <w:jc w:val="both"/>
        <w:rPr>
          <w:sz w:val="22"/>
          <w:szCs w:val="22"/>
        </w:rPr>
      </w:pPr>
      <w:r w:rsidRPr="00876B4D">
        <w:rPr>
          <w:sz w:val="22"/>
          <w:szCs w:val="22"/>
        </w:rPr>
        <w:t>Expectations for professional behavior are met in all matters, including assisting in the successful transition of the practice.</w:t>
      </w:r>
    </w:p>
    <w:p w14:paraId="46549A18" w14:textId="77777777" w:rsidR="000038EC" w:rsidRPr="00876B4D" w:rsidRDefault="000038EC" w:rsidP="000038EC">
      <w:pPr>
        <w:ind w:left="720"/>
        <w:rPr>
          <w:sz w:val="22"/>
          <w:szCs w:val="22"/>
        </w:rPr>
      </w:pPr>
    </w:p>
    <w:p w14:paraId="36A872A5" w14:textId="6D723FDA" w:rsidR="000038EC" w:rsidRPr="00876B4D" w:rsidRDefault="009A491C" w:rsidP="000038EC">
      <w:pPr>
        <w:rPr>
          <w:sz w:val="22"/>
          <w:szCs w:val="22"/>
        </w:rPr>
      </w:pPr>
      <w:r w:rsidRPr="00876B4D">
        <w:rPr>
          <w:sz w:val="22"/>
          <w:szCs w:val="22"/>
        </w:rPr>
        <w:t xml:space="preserve">CPUP </w:t>
      </w:r>
      <w:proofErr w:type="gramStart"/>
      <w:r w:rsidRPr="00876B4D">
        <w:rPr>
          <w:sz w:val="22"/>
          <w:szCs w:val="22"/>
        </w:rPr>
        <w:t>members</w:t>
      </w:r>
      <w:proofErr w:type="gramEnd"/>
      <w:r w:rsidRPr="00876B4D">
        <w:rPr>
          <w:sz w:val="22"/>
          <w:szCs w:val="22"/>
        </w:rPr>
        <w:t xml:space="preserve"> not meeting </w:t>
      </w:r>
      <w:proofErr w:type="gramStart"/>
      <w:r w:rsidRPr="00876B4D">
        <w:rPr>
          <w:sz w:val="22"/>
          <w:szCs w:val="22"/>
        </w:rPr>
        <w:t>all of</w:t>
      </w:r>
      <w:proofErr w:type="gramEnd"/>
      <w:r w:rsidRPr="00876B4D">
        <w:rPr>
          <w:sz w:val="22"/>
          <w:szCs w:val="22"/>
        </w:rPr>
        <w:t xml:space="preserve"> the above </w:t>
      </w:r>
      <w:proofErr w:type="gramStart"/>
      <w:r w:rsidRPr="00876B4D">
        <w:rPr>
          <w:sz w:val="22"/>
          <w:szCs w:val="22"/>
        </w:rPr>
        <w:t>requirements</w:t>
      </w:r>
      <w:proofErr w:type="gramEnd"/>
      <w:r w:rsidRPr="00876B4D">
        <w:rPr>
          <w:sz w:val="22"/>
          <w:szCs w:val="22"/>
        </w:rPr>
        <w:t xml:space="preserve"> shall be deemed not to have earned any incentive compensation unpaid as of the date of termination.  </w:t>
      </w:r>
      <w:r w:rsidR="000038EC" w:rsidRPr="00876B4D">
        <w:rPr>
          <w:sz w:val="22"/>
          <w:szCs w:val="22"/>
        </w:rPr>
        <w:t>The determination of the faculty member’s eligibility based on the above requirements will be at the sole discretion of the Chair.  In certain circumstances, the notice period requirement may be shortened or waived at the discretion of the Chair.</w:t>
      </w:r>
      <w:r w:rsidRPr="00876B4D">
        <w:rPr>
          <w:sz w:val="22"/>
          <w:szCs w:val="22"/>
        </w:rPr>
        <w:t xml:space="preserve">   </w:t>
      </w:r>
      <w:r w:rsidR="000038EC" w:rsidRPr="00876B4D">
        <w:rPr>
          <w:sz w:val="22"/>
          <w:szCs w:val="22"/>
        </w:rPr>
        <w:t xml:space="preserve">    </w:t>
      </w:r>
    </w:p>
    <w:p w14:paraId="7742FB4E" w14:textId="77777777" w:rsidR="000038EC" w:rsidRDefault="000038EC" w:rsidP="000038EC">
      <w:pPr>
        <w:jc w:val="both"/>
        <w:rPr>
          <w:sz w:val="22"/>
          <w:szCs w:val="22"/>
        </w:rPr>
      </w:pPr>
    </w:p>
    <w:p w14:paraId="03960B6C" w14:textId="77777777" w:rsidR="00876B4D" w:rsidRDefault="00876B4D" w:rsidP="000038EC">
      <w:pPr>
        <w:jc w:val="both"/>
        <w:rPr>
          <w:sz w:val="22"/>
          <w:szCs w:val="22"/>
        </w:rPr>
      </w:pPr>
    </w:p>
    <w:p w14:paraId="0A1CF4EC" w14:textId="77777777" w:rsidR="00876B4D" w:rsidRPr="00876B4D" w:rsidRDefault="00876B4D" w:rsidP="000038EC">
      <w:pPr>
        <w:jc w:val="both"/>
        <w:rPr>
          <w:sz w:val="22"/>
          <w:szCs w:val="22"/>
        </w:rPr>
      </w:pPr>
    </w:p>
    <w:p w14:paraId="06602B66" w14:textId="45946FA1" w:rsidR="00C47870" w:rsidRPr="00876B4D" w:rsidRDefault="004543B0" w:rsidP="00C47870">
      <w:pPr>
        <w:jc w:val="both"/>
        <w:rPr>
          <w:b/>
          <w:bCs/>
          <w:sz w:val="22"/>
          <w:szCs w:val="22"/>
        </w:rPr>
      </w:pPr>
      <w:r w:rsidRPr="00876B4D">
        <w:rPr>
          <w:b/>
          <w:bCs/>
          <w:sz w:val="22"/>
          <w:szCs w:val="22"/>
        </w:rPr>
        <w:lastRenderedPageBreak/>
        <w:t>COMPENSATION ADJUSTMENTS</w:t>
      </w:r>
    </w:p>
    <w:p w14:paraId="76518227" w14:textId="193BF6EB" w:rsidR="000603F2" w:rsidRPr="00876B4D" w:rsidRDefault="000603F2" w:rsidP="000603F2">
      <w:pPr>
        <w:jc w:val="both"/>
        <w:rPr>
          <w:sz w:val="22"/>
          <w:szCs w:val="22"/>
        </w:rPr>
      </w:pPr>
      <w:r w:rsidRPr="00876B4D">
        <w:rPr>
          <w:sz w:val="22"/>
          <w:szCs w:val="22"/>
        </w:rPr>
        <w:t xml:space="preserve">Compensation is reviewed annually against benchmark data provided by the PSOM to ensure equity based on track, rank, responsibilities, and productivity.  Base salary and/or the incentive component may be adjusted annually at the discretion of the Department Chair/Chief. The Department Chair may also choose to make an additional adjustment to reconcile any internal or gender equity, or market </w:t>
      </w:r>
      <w:r w:rsidR="00876B4D" w:rsidRPr="00876B4D">
        <w:rPr>
          <w:sz w:val="22"/>
          <w:szCs w:val="22"/>
        </w:rPr>
        <w:t>issues,</w:t>
      </w:r>
      <w:r w:rsidRPr="00876B4D">
        <w:rPr>
          <w:sz w:val="22"/>
          <w:szCs w:val="22"/>
        </w:rPr>
        <w:t xml:space="preserve"> using the available pool as determined by the PSOM.  </w:t>
      </w:r>
    </w:p>
    <w:p w14:paraId="4DD17A1F" w14:textId="77777777" w:rsidR="000603F2" w:rsidRPr="00876B4D" w:rsidRDefault="000603F2" w:rsidP="000603F2">
      <w:pPr>
        <w:jc w:val="both"/>
        <w:rPr>
          <w:b/>
          <w:sz w:val="22"/>
          <w:szCs w:val="22"/>
        </w:rPr>
      </w:pPr>
    </w:p>
    <w:p w14:paraId="426BB7AC" w14:textId="7846E81A" w:rsidR="000603F2" w:rsidRPr="00876B4D" w:rsidRDefault="000603F2" w:rsidP="000603F2">
      <w:pPr>
        <w:jc w:val="both"/>
        <w:rPr>
          <w:sz w:val="22"/>
          <w:szCs w:val="22"/>
        </w:rPr>
      </w:pPr>
      <w:r w:rsidRPr="00876B4D">
        <w:rPr>
          <w:sz w:val="22"/>
          <w:szCs w:val="22"/>
        </w:rPr>
        <w:t xml:space="preserve">All faculty compensation is subject to the approval of the Dean.  </w:t>
      </w:r>
    </w:p>
    <w:p w14:paraId="67530A8F" w14:textId="77777777" w:rsidR="000603F2" w:rsidRPr="00876B4D" w:rsidRDefault="000603F2" w:rsidP="00C47870">
      <w:pPr>
        <w:jc w:val="both"/>
        <w:rPr>
          <w:sz w:val="22"/>
          <w:szCs w:val="22"/>
        </w:rPr>
      </w:pPr>
    </w:p>
    <w:p w14:paraId="25E8CF64" w14:textId="77777777" w:rsidR="000603F2" w:rsidRPr="00876B4D" w:rsidRDefault="00C47870" w:rsidP="00C47870">
      <w:pPr>
        <w:jc w:val="both"/>
        <w:rPr>
          <w:sz w:val="22"/>
          <w:szCs w:val="22"/>
        </w:rPr>
      </w:pPr>
      <w:r w:rsidRPr="00876B4D">
        <w:rPr>
          <w:sz w:val="22"/>
          <w:szCs w:val="22"/>
        </w:rPr>
        <w:t xml:space="preserve">No faculty member can be assured from one year to the next that his or her compensation (except the guaranteed Academic Base Salary, subject to rules for faculty as outlined in PSOM and University salary policies) will remain equal to or greater than the prior year. </w:t>
      </w:r>
    </w:p>
    <w:p w14:paraId="269DE154" w14:textId="77777777" w:rsidR="000603F2" w:rsidRPr="00876B4D" w:rsidRDefault="000603F2" w:rsidP="00C47870">
      <w:pPr>
        <w:jc w:val="both"/>
        <w:rPr>
          <w:sz w:val="22"/>
          <w:szCs w:val="22"/>
        </w:rPr>
      </w:pPr>
    </w:p>
    <w:p w14:paraId="54340372" w14:textId="6F68E81F" w:rsidR="000603F2" w:rsidRPr="00876B4D" w:rsidRDefault="00C47870" w:rsidP="00C47870">
      <w:pPr>
        <w:jc w:val="both"/>
        <w:rPr>
          <w:sz w:val="22"/>
          <w:szCs w:val="22"/>
        </w:rPr>
      </w:pPr>
      <w:r w:rsidRPr="00876B4D">
        <w:rPr>
          <w:sz w:val="22"/>
          <w:szCs w:val="22"/>
        </w:rPr>
        <w:t xml:space="preserve">Each year’s compensation will be dependent on the Departmental evaluation of the assigned duties, </w:t>
      </w:r>
      <w:r w:rsidR="000603F2" w:rsidRPr="00876B4D">
        <w:rPr>
          <w:sz w:val="22"/>
          <w:szCs w:val="22"/>
        </w:rPr>
        <w:t xml:space="preserve">productivity, </w:t>
      </w:r>
      <w:r w:rsidRPr="00876B4D">
        <w:rPr>
          <w:sz w:val="22"/>
          <w:szCs w:val="22"/>
        </w:rPr>
        <w:t>performance history, and the Department’s finances.</w:t>
      </w:r>
    </w:p>
    <w:p w14:paraId="4D276FB0" w14:textId="77777777" w:rsidR="000603F2" w:rsidRPr="00876B4D" w:rsidRDefault="000603F2" w:rsidP="000603F2">
      <w:pPr>
        <w:numPr>
          <w:ilvl w:val="0"/>
          <w:numId w:val="30"/>
        </w:numPr>
        <w:jc w:val="both"/>
        <w:rPr>
          <w:sz w:val="22"/>
          <w:szCs w:val="22"/>
        </w:rPr>
      </w:pPr>
      <w:r w:rsidRPr="00876B4D">
        <w:rPr>
          <w:sz w:val="22"/>
          <w:szCs w:val="22"/>
        </w:rPr>
        <w:t xml:space="preserve">If a physician fails to meet expected clinical productivity for the FY by greater than 5% then the base salary as a % of total target compensation may be reduced and the incentive increased to preserve total earning potential in the subsequent year.  </w:t>
      </w:r>
    </w:p>
    <w:p w14:paraId="7CF4A07B" w14:textId="3395C971" w:rsidR="000603F2" w:rsidRPr="00876B4D" w:rsidRDefault="000603F2" w:rsidP="000603F2">
      <w:pPr>
        <w:numPr>
          <w:ilvl w:val="0"/>
          <w:numId w:val="30"/>
        </w:numPr>
        <w:jc w:val="both"/>
        <w:rPr>
          <w:sz w:val="22"/>
          <w:szCs w:val="22"/>
        </w:rPr>
      </w:pPr>
      <w:r w:rsidRPr="00876B4D">
        <w:rPr>
          <w:sz w:val="22"/>
          <w:szCs w:val="22"/>
        </w:rPr>
        <w:t xml:space="preserve">The faculty base salary % can be restored in the following year should the faculty achieve targeted performance.  </w:t>
      </w:r>
    </w:p>
    <w:p w14:paraId="6A82FA19" w14:textId="2515164D" w:rsidR="000603F2" w:rsidRPr="00876B4D" w:rsidRDefault="000603F2" w:rsidP="000603F2">
      <w:pPr>
        <w:numPr>
          <w:ilvl w:val="0"/>
          <w:numId w:val="30"/>
        </w:numPr>
        <w:jc w:val="both"/>
        <w:rPr>
          <w:sz w:val="22"/>
          <w:szCs w:val="22"/>
        </w:rPr>
      </w:pPr>
      <w:r w:rsidRPr="00876B4D">
        <w:rPr>
          <w:sz w:val="22"/>
          <w:szCs w:val="22"/>
        </w:rPr>
        <w:t>Alternatively, salary may be reduced commensurate with productivity and other factors as outlined below.</w:t>
      </w:r>
    </w:p>
    <w:p w14:paraId="3B85DF3D" w14:textId="77777777" w:rsidR="00C0581F" w:rsidRPr="00876B4D" w:rsidRDefault="00C0581F" w:rsidP="00C47870">
      <w:pPr>
        <w:jc w:val="both"/>
        <w:rPr>
          <w:b/>
          <w:sz w:val="22"/>
          <w:szCs w:val="22"/>
        </w:rPr>
      </w:pPr>
    </w:p>
    <w:p w14:paraId="781A425C" w14:textId="0FBEAC59" w:rsidR="004543B0" w:rsidRPr="00876B4D" w:rsidRDefault="004543B0" w:rsidP="00C47870">
      <w:pPr>
        <w:jc w:val="both"/>
        <w:rPr>
          <w:b/>
          <w:sz w:val="22"/>
          <w:szCs w:val="22"/>
        </w:rPr>
      </w:pPr>
      <w:r w:rsidRPr="00876B4D">
        <w:rPr>
          <w:b/>
          <w:sz w:val="22"/>
          <w:szCs w:val="22"/>
        </w:rPr>
        <w:t>Promotion:</w:t>
      </w:r>
    </w:p>
    <w:p w14:paraId="4CB18697" w14:textId="380BF29B" w:rsidR="00C47870" w:rsidRPr="00876B4D" w:rsidRDefault="00C47870" w:rsidP="00C47870">
      <w:pPr>
        <w:jc w:val="both"/>
        <w:rPr>
          <w:sz w:val="22"/>
          <w:szCs w:val="22"/>
        </w:rPr>
      </w:pPr>
      <w:r w:rsidRPr="00876B4D">
        <w:rPr>
          <w:sz w:val="22"/>
          <w:szCs w:val="22"/>
        </w:rPr>
        <w:t xml:space="preserve">At </w:t>
      </w:r>
      <w:proofErr w:type="gramStart"/>
      <w:r w:rsidRPr="00876B4D">
        <w:rPr>
          <w:sz w:val="22"/>
          <w:szCs w:val="22"/>
        </w:rPr>
        <w:t>time</w:t>
      </w:r>
      <w:proofErr w:type="gramEnd"/>
      <w:r w:rsidRPr="00876B4D">
        <w:rPr>
          <w:sz w:val="22"/>
          <w:szCs w:val="22"/>
        </w:rPr>
        <w:t xml:space="preserve"> of promotion, </w:t>
      </w:r>
      <w:r w:rsidR="00876B4D" w:rsidRPr="00876B4D">
        <w:rPr>
          <w:sz w:val="22"/>
          <w:szCs w:val="22"/>
        </w:rPr>
        <w:t>full-time</w:t>
      </w:r>
      <w:r w:rsidRPr="00876B4D">
        <w:rPr>
          <w:sz w:val="22"/>
          <w:szCs w:val="22"/>
        </w:rPr>
        <w:t xml:space="preserve"> faculty are eligible to receive an increase in Base Salary. The effective date of the salary increase should coincide with the approved date of the promotion by the </w:t>
      </w:r>
      <w:proofErr w:type="gramStart"/>
      <w:r w:rsidRPr="00876B4D">
        <w:rPr>
          <w:sz w:val="22"/>
          <w:szCs w:val="22"/>
        </w:rPr>
        <w:t>Provost</w:t>
      </w:r>
      <w:proofErr w:type="gramEnd"/>
      <w:r w:rsidRPr="00876B4D">
        <w:rPr>
          <w:sz w:val="22"/>
          <w:szCs w:val="22"/>
        </w:rPr>
        <w:t xml:space="preserve">. The increase will generally be calculated as the amount equal to the difference between the minimum salary for the rank (as defined annually by the PSOM and the University) of the current and the newly promoted ranks.  The Department Chair may also choose to make an additional adjustment to reconcile any internal equity or market issues.  </w:t>
      </w:r>
    </w:p>
    <w:p w14:paraId="51852386" w14:textId="77777777" w:rsidR="00C47870" w:rsidRPr="00876B4D" w:rsidRDefault="00C47870" w:rsidP="00C47870">
      <w:pPr>
        <w:jc w:val="both"/>
        <w:rPr>
          <w:sz w:val="22"/>
          <w:szCs w:val="22"/>
        </w:rPr>
      </w:pPr>
    </w:p>
    <w:p w14:paraId="6C8B343E" w14:textId="53431C6A" w:rsidR="00C47870" w:rsidRPr="00876B4D" w:rsidRDefault="004543B0" w:rsidP="00C47870">
      <w:pPr>
        <w:jc w:val="both"/>
        <w:rPr>
          <w:sz w:val="22"/>
          <w:szCs w:val="22"/>
        </w:rPr>
      </w:pPr>
      <w:r w:rsidRPr="00876B4D">
        <w:rPr>
          <w:b/>
          <w:sz w:val="22"/>
          <w:szCs w:val="22"/>
        </w:rPr>
        <w:t>Mid-year Compensation Adjustments:</w:t>
      </w:r>
      <w:r w:rsidRPr="00876B4D">
        <w:rPr>
          <w:sz w:val="22"/>
          <w:szCs w:val="22"/>
        </w:rPr>
        <w:t xml:space="preserve"> </w:t>
      </w:r>
      <w:r w:rsidR="00C47870" w:rsidRPr="00876B4D">
        <w:rPr>
          <w:sz w:val="22"/>
          <w:szCs w:val="22"/>
        </w:rPr>
        <w:t xml:space="preserve">Mid-year compensation adjustments require a written request with justification and should be submitted to the SVP, CPUP and the PSOM Dean for approval. </w:t>
      </w:r>
    </w:p>
    <w:p w14:paraId="0B18B0E4" w14:textId="77777777" w:rsidR="00C47870" w:rsidRPr="00876B4D" w:rsidRDefault="00C47870" w:rsidP="00C47870">
      <w:pPr>
        <w:jc w:val="both"/>
        <w:rPr>
          <w:sz w:val="22"/>
          <w:szCs w:val="22"/>
        </w:rPr>
      </w:pPr>
    </w:p>
    <w:p w14:paraId="6563830F" w14:textId="77777777" w:rsidR="00C0581F" w:rsidRPr="00876B4D" w:rsidRDefault="00C0581F" w:rsidP="000038EC">
      <w:pPr>
        <w:jc w:val="both"/>
        <w:rPr>
          <w:b/>
          <w:sz w:val="22"/>
          <w:szCs w:val="22"/>
        </w:rPr>
      </w:pPr>
    </w:p>
    <w:p w14:paraId="77EED096" w14:textId="34486AD9" w:rsidR="000038EC" w:rsidRPr="00876B4D" w:rsidRDefault="000038EC" w:rsidP="000038EC">
      <w:pPr>
        <w:jc w:val="both"/>
        <w:rPr>
          <w:b/>
          <w:sz w:val="22"/>
          <w:szCs w:val="22"/>
        </w:rPr>
      </w:pPr>
      <w:r w:rsidRPr="00876B4D">
        <w:rPr>
          <w:b/>
          <w:sz w:val="22"/>
          <w:szCs w:val="22"/>
        </w:rPr>
        <w:t>REDUCTION IN TOTAL BASE SALARY:</w:t>
      </w:r>
    </w:p>
    <w:p w14:paraId="1FC4F9B0" w14:textId="77777777" w:rsidR="000038EC" w:rsidRPr="00876B4D" w:rsidRDefault="000038EC" w:rsidP="000038EC">
      <w:pPr>
        <w:jc w:val="both"/>
        <w:rPr>
          <w:sz w:val="22"/>
          <w:szCs w:val="22"/>
        </w:rPr>
      </w:pPr>
      <w:r w:rsidRPr="00876B4D">
        <w:rPr>
          <w:sz w:val="22"/>
          <w:szCs w:val="22"/>
        </w:rPr>
        <w:t xml:space="preserve">Reduction in a CPUP member’s Total Base Salary may occur in accordance with the following principles: </w:t>
      </w:r>
    </w:p>
    <w:p w14:paraId="62AB9DB1" w14:textId="34887CCE" w:rsidR="000038EC" w:rsidRPr="00876B4D" w:rsidRDefault="000038EC" w:rsidP="000038EC">
      <w:pPr>
        <w:pStyle w:val="ListParagraph"/>
        <w:numPr>
          <w:ilvl w:val="0"/>
          <w:numId w:val="16"/>
        </w:numPr>
        <w:jc w:val="both"/>
        <w:rPr>
          <w:w w:val="105"/>
          <w:sz w:val="22"/>
          <w:szCs w:val="22"/>
        </w:rPr>
      </w:pPr>
      <w:r w:rsidRPr="00876B4D">
        <w:rPr>
          <w:sz w:val="22"/>
          <w:szCs w:val="22"/>
        </w:rPr>
        <w:t xml:space="preserve">Where a CPUP member </w:t>
      </w:r>
      <w:r w:rsidRPr="00876B4D">
        <w:rPr>
          <w:w w:val="105"/>
          <w:sz w:val="22"/>
          <w:szCs w:val="22"/>
        </w:rPr>
        <w:t xml:space="preserve">has demonstrated a consistent pattern of failing to meet departmental expectations, including but not limited to failure to generate clinical practice income or external funding sufficient to justify total </w:t>
      </w:r>
      <w:r w:rsidR="00876B4D" w:rsidRPr="00876B4D">
        <w:rPr>
          <w:w w:val="105"/>
          <w:sz w:val="22"/>
          <w:szCs w:val="22"/>
        </w:rPr>
        <w:t>salary,</w:t>
      </w:r>
      <w:r w:rsidRPr="00876B4D">
        <w:rPr>
          <w:w w:val="105"/>
          <w:sz w:val="22"/>
          <w:szCs w:val="22"/>
        </w:rPr>
        <w:t xml:space="preserve"> the department chair may recommend that the Base Salary Supplement be reduced to that which can be justified by clinical practice income or grant funding.</w:t>
      </w:r>
    </w:p>
    <w:p w14:paraId="216C630D" w14:textId="22D430C8" w:rsidR="000038EC" w:rsidRPr="00876B4D" w:rsidRDefault="000038EC" w:rsidP="000038EC">
      <w:pPr>
        <w:pStyle w:val="ListParagraph"/>
        <w:numPr>
          <w:ilvl w:val="0"/>
          <w:numId w:val="16"/>
        </w:numPr>
        <w:jc w:val="both"/>
        <w:rPr>
          <w:sz w:val="22"/>
          <w:szCs w:val="22"/>
        </w:rPr>
      </w:pPr>
      <w:r w:rsidRPr="00876B4D">
        <w:rPr>
          <w:sz w:val="22"/>
          <w:szCs w:val="22"/>
        </w:rPr>
        <w:t>If the negative variance is attributable to a significant illness, injury, leave of absence, or other extraordinary situation, the Chair may determine whether any reduction will occur.</w:t>
      </w:r>
    </w:p>
    <w:p w14:paraId="7D24D442" w14:textId="77777777" w:rsidR="00AB30C8" w:rsidRPr="00876B4D" w:rsidRDefault="00AB30C8" w:rsidP="001C757F">
      <w:pPr>
        <w:pStyle w:val="ListParagraph"/>
        <w:jc w:val="both"/>
        <w:rPr>
          <w:sz w:val="22"/>
          <w:szCs w:val="22"/>
        </w:rPr>
      </w:pPr>
    </w:p>
    <w:p w14:paraId="39D66EB8" w14:textId="238071CC" w:rsidR="00960041" w:rsidRPr="00876B4D" w:rsidRDefault="00960041" w:rsidP="00960041">
      <w:pPr>
        <w:pStyle w:val="ListParagraph"/>
        <w:numPr>
          <w:ilvl w:val="0"/>
          <w:numId w:val="16"/>
        </w:numPr>
        <w:jc w:val="both"/>
        <w:rPr>
          <w:w w:val="105"/>
          <w:sz w:val="22"/>
          <w:szCs w:val="22"/>
        </w:rPr>
      </w:pPr>
      <w:r w:rsidRPr="00876B4D">
        <w:rPr>
          <w:w w:val="105"/>
          <w:sz w:val="22"/>
          <w:szCs w:val="22"/>
        </w:rPr>
        <w:t xml:space="preserve">Reductions in Total Base Salary due to productivity or performance issues should only be made at the beginning of the fiscal year and cannot be made </w:t>
      </w:r>
      <w:r w:rsidR="00AB30C8" w:rsidRPr="00876B4D">
        <w:rPr>
          <w:w w:val="105"/>
          <w:sz w:val="22"/>
          <w:szCs w:val="22"/>
        </w:rPr>
        <w:t>solely due to</w:t>
      </w:r>
      <w:r w:rsidRPr="00876B4D">
        <w:rPr>
          <w:w w:val="105"/>
          <w:sz w:val="22"/>
          <w:szCs w:val="22"/>
        </w:rPr>
        <w:t xml:space="preserve"> the loss of grant</w:t>
      </w:r>
      <w:r w:rsidR="00AB30C8" w:rsidRPr="00876B4D">
        <w:rPr>
          <w:w w:val="105"/>
          <w:sz w:val="22"/>
          <w:szCs w:val="22"/>
        </w:rPr>
        <w:t xml:space="preserve"> funding</w:t>
      </w:r>
      <w:r w:rsidR="009A491C" w:rsidRPr="00876B4D">
        <w:rPr>
          <w:w w:val="105"/>
          <w:sz w:val="22"/>
          <w:szCs w:val="22"/>
        </w:rPr>
        <w:t>, but a pattern of insufficient funding may warrant reduction</w:t>
      </w:r>
      <w:r w:rsidRPr="00876B4D">
        <w:rPr>
          <w:w w:val="105"/>
          <w:sz w:val="22"/>
          <w:szCs w:val="22"/>
        </w:rPr>
        <w:t xml:space="preserve">.  </w:t>
      </w:r>
    </w:p>
    <w:p w14:paraId="5620AF54" w14:textId="77777777" w:rsidR="000038EC" w:rsidRPr="00876B4D" w:rsidRDefault="000038EC" w:rsidP="000038EC">
      <w:pPr>
        <w:pStyle w:val="BodyText"/>
        <w:ind w:right="10"/>
        <w:jc w:val="both"/>
        <w:rPr>
          <w:rFonts w:ascii="Times New Roman" w:hAnsi="Times New Roman" w:cs="Times New Roman"/>
          <w:sz w:val="22"/>
          <w:szCs w:val="22"/>
        </w:rPr>
      </w:pPr>
    </w:p>
    <w:p w14:paraId="3EF31FE7" w14:textId="62212D77" w:rsidR="000038EC" w:rsidRPr="00876B4D" w:rsidRDefault="000038EC" w:rsidP="000038EC">
      <w:pPr>
        <w:pStyle w:val="BodyText"/>
        <w:numPr>
          <w:ilvl w:val="0"/>
          <w:numId w:val="16"/>
        </w:numPr>
        <w:ind w:right="10"/>
        <w:jc w:val="both"/>
        <w:rPr>
          <w:rFonts w:ascii="Times New Roman" w:hAnsi="Times New Roman" w:cs="Times New Roman"/>
          <w:w w:val="105"/>
          <w:sz w:val="22"/>
          <w:szCs w:val="22"/>
        </w:rPr>
      </w:pPr>
      <w:r w:rsidRPr="00876B4D">
        <w:rPr>
          <w:rFonts w:ascii="Times New Roman" w:hAnsi="Times New Roman" w:cs="Times New Roman"/>
          <w:w w:val="105"/>
          <w:sz w:val="22"/>
          <w:szCs w:val="22"/>
        </w:rPr>
        <w:t>Additional annual reductions of total base</w:t>
      </w:r>
      <w:r w:rsidRPr="00876B4D">
        <w:rPr>
          <w:rFonts w:ascii="Times New Roman" w:hAnsi="Times New Roman" w:cs="Times New Roman"/>
          <w:spacing w:val="-3"/>
          <w:w w:val="105"/>
          <w:sz w:val="22"/>
          <w:szCs w:val="22"/>
        </w:rPr>
        <w:t xml:space="preserve"> </w:t>
      </w:r>
      <w:r w:rsidRPr="00876B4D">
        <w:rPr>
          <w:rFonts w:ascii="Times New Roman" w:hAnsi="Times New Roman" w:cs="Times New Roman"/>
          <w:w w:val="105"/>
          <w:sz w:val="22"/>
          <w:szCs w:val="22"/>
        </w:rPr>
        <w:t>salary</w:t>
      </w:r>
      <w:r w:rsidRPr="00876B4D">
        <w:rPr>
          <w:rFonts w:ascii="Times New Roman" w:hAnsi="Times New Roman" w:cs="Times New Roman"/>
          <w:spacing w:val="-1"/>
          <w:w w:val="105"/>
          <w:sz w:val="22"/>
          <w:szCs w:val="22"/>
        </w:rPr>
        <w:t xml:space="preserve"> </w:t>
      </w:r>
      <w:r w:rsidRPr="00876B4D">
        <w:rPr>
          <w:rFonts w:ascii="Times New Roman" w:hAnsi="Times New Roman" w:cs="Times New Roman"/>
          <w:w w:val="105"/>
          <w:sz w:val="22"/>
          <w:szCs w:val="22"/>
        </w:rPr>
        <w:t>may</w:t>
      </w:r>
      <w:r w:rsidRPr="00876B4D">
        <w:rPr>
          <w:rFonts w:ascii="Times New Roman" w:hAnsi="Times New Roman" w:cs="Times New Roman"/>
          <w:spacing w:val="-5"/>
          <w:w w:val="105"/>
          <w:sz w:val="22"/>
          <w:szCs w:val="22"/>
        </w:rPr>
        <w:t xml:space="preserve"> </w:t>
      </w:r>
      <w:r w:rsidRPr="00876B4D">
        <w:rPr>
          <w:rFonts w:ascii="Times New Roman" w:hAnsi="Times New Roman" w:cs="Times New Roman"/>
          <w:w w:val="105"/>
          <w:sz w:val="22"/>
          <w:szCs w:val="22"/>
        </w:rPr>
        <w:t>be made at the beginning of each subsequent fiscal year, until</w:t>
      </w:r>
      <w:r w:rsidRPr="00876B4D">
        <w:rPr>
          <w:rFonts w:ascii="Times New Roman" w:hAnsi="Times New Roman" w:cs="Times New Roman"/>
          <w:spacing w:val="-2"/>
          <w:w w:val="105"/>
          <w:sz w:val="22"/>
          <w:szCs w:val="22"/>
        </w:rPr>
        <w:t xml:space="preserve"> </w:t>
      </w:r>
      <w:r w:rsidRPr="00876B4D">
        <w:rPr>
          <w:rFonts w:ascii="Times New Roman" w:hAnsi="Times New Roman" w:cs="Times New Roman"/>
          <w:w w:val="105"/>
          <w:sz w:val="22"/>
          <w:szCs w:val="22"/>
        </w:rPr>
        <w:t>the</w:t>
      </w:r>
      <w:r w:rsidRPr="00876B4D">
        <w:rPr>
          <w:rFonts w:ascii="Times New Roman" w:hAnsi="Times New Roman" w:cs="Times New Roman"/>
          <w:spacing w:val="-13"/>
          <w:w w:val="105"/>
          <w:sz w:val="22"/>
          <w:szCs w:val="22"/>
        </w:rPr>
        <w:t xml:space="preserve"> </w:t>
      </w:r>
      <w:r w:rsidRPr="00876B4D">
        <w:rPr>
          <w:rFonts w:ascii="Times New Roman" w:hAnsi="Times New Roman" w:cs="Times New Roman"/>
          <w:w w:val="105"/>
          <w:sz w:val="22"/>
          <w:szCs w:val="22"/>
        </w:rPr>
        <w:t>total base salary is</w:t>
      </w:r>
      <w:r w:rsidRPr="00876B4D">
        <w:rPr>
          <w:rFonts w:ascii="Times New Roman" w:hAnsi="Times New Roman" w:cs="Times New Roman"/>
          <w:spacing w:val="-2"/>
          <w:w w:val="105"/>
          <w:sz w:val="22"/>
          <w:szCs w:val="22"/>
        </w:rPr>
        <w:t xml:space="preserve"> </w:t>
      </w:r>
      <w:r w:rsidRPr="00876B4D">
        <w:rPr>
          <w:rFonts w:ascii="Times New Roman" w:hAnsi="Times New Roman" w:cs="Times New Roman"/>
          <w:w w:val="105"/>
          <w:sz w:val="22"/>
          <w:szCs w:val="22"/>
        </w:rPr>
        <w:t>reduced to the</w:t>
      </w:r>
      <w:r w:rsidRPr="00876B4D">
        <w:rPr>
          <w:rFonts w:ascii="Times New Roman" w:hAnsi="Times New Roman" w:cs="Times New Roman"/>
          <w:spacing w:val="-1"/>
          <w:w w:val="105"/>
          <w:sz w:val="22"/>
          <w:szCs w:val="22"/>
        </w:rPr>
        <w:t xml:space="preserve"> </w:t>
      </w:r>
      <w:r w:rsidRPr="00876B4D">
        <w:rPr>
          <w:rFonts w:ascii="Times New Roman" w:hAnsi="Times New Roman" w:cs="Times New Roman"/>
          <w:w w:val="105"/>
          <w:sz w:val="22"/>
          <w:szCs w:val="22"/>
        </w:rPr>
        <w:t>Academic Base</w:t>
      </w:r>
      <w:r w:rsidRPr="00876B4D">
        <w:rPr>
          <w:rFonts w:ascii="Times New Roman" w:hAnsi="Times New Roman" w:cs="Times New Roman"/>
          <w:spacing w:val="-1"/>
          <w:w w:val="105"/>
          <w:sz w:val="22"/>
          <w:szCs w:val="22"/>
        </w:rPr>
        <w:t xml:space="preserve"> </w:t>
      </w:r>
      <w:r w:rsidRPr="00876B4D">
        <w:rPr>
          <w:rFonts w:ascii="Times New Roman" w:hAnsi="Times New Roman" w:cs="Times New Roman"/>
          <w:w w:val="105"/>
          <w:sz w:val="22"/>
          <w:szCs w:val="22"/>
        </w:rPr>
        <w:t>salary</w:t>
      </w:r>
      <w:r w:rsidR="00960041" w:rsidRPr="00876B4D">
        <w:rPr>
          <w:rFonts w:ascii="Times New Roman" w:hAnsi="Times New Roman" w:cs="Times New Roman"/>
          <w:w w:val="105"/>
          <w:sz w:val="22"/>
          <w:szCs w:val="22"/>
        </w:rPr>
        <w:t xml:space="preserve"> (standing faculty) or Faculty base (associated faculty)</w:t>
      </w:r>
      <w:r w:rsidRPr="00876B4D">
        <w:rPr>
          <w:rFonts w:ascii="Times New Roman" w:hAnsi="Times New Roman" w:cs="Times New Roman"/>
          <w:w w:val="105"/>
          <w:sz w:val="22"/>
          <w:szCs w:val="22"/>
        </w:rPr>
        <w:t>.</w:t>
      </w:r>
      <w:r w:rsidRPr="00876B4D">
        <w:rPr>
          <w:rFonts w:ascii="Times New Roman" w:hAnsi="Times New Roman" w:cs="Times New Roman"/>
          <w:spacing w:val="-3"/>
          <w:w w:val="105"/>
          <w:sz w:val="22"/>
          <w:szCs w:val="22"/>
        </w:rPr>
        <w:t xml:space="preserve"> </w:t>
      </w:r>
    </w:p>
    <w:p w14:paraId="40A6D639" w14:textId="77777777" w:rsidR="0068134F" w:rsidRPr="00876B4D" w:rsidRDefault="0068134F" w:rsidP="001C757F">
      <w:pPr>
        <w:pStyle w:val="ListParagraph"/>
        <w:rPr>
          <w:w w:val="105"/>
          <w:sz w:val="22"/>
          <w:szCs w:val="22"/>
        </w:rPr>
      </w:pPr>
    </w:p>
    <w:p w14:paraId="2673B9AD" w14:textId="1F8AA3A2" w:rsidR="0068134F" w:rsidRPr="00876B4D" w:rsidRDefault="0068134F" w:rsidP="000038EC">
      <w:pPr>
        <w:pStyle w:val="BodyText"/>
        <w:numPr>
          <w:ilvl w:val="0"/>
          <w:numId w:val="16"/>
        </w:numPr>
        <w:ind w:right="10"/>
        <w:jc w:val="both"/>
        <w:rPr>
          <w:rFonts w:ascii="Times New Roman" w:hAnsi="Times New Roman" w:cs="Times New Roman"/>
          <w:w w:val="105"/>
          <w:sz w:val="22"/>
          <w:szCs w:val="22"/>
        </w:rPr>
      </w:pPr>
      <w:r w:rsidRPr="00876B4D">
        <w:rPr>
          <w:rFonts w:ascii="Times New Roman" w:hAnsi="Times New Roman" w:cs="Times New Roman"/>
          <w:w w:val="105"/>
          <w:sz w:val="22"/>
          <w:szCs w:val="22"/>
        </w:rPr>
        <w:t xml:space="preserve">Reductions </w:t>
      </w:r>
      <w:r w:rsidR="00947A0F" w:rsidRPr="00876B4D">
        <w:rPr>
          <w:rFonts w:ascii="Times New Roman" w:hAnsi="Times New Roman" w:cs="Times New Roman"/>
          <w:w w:val="105"/>
          <w:sz w:val="22"/>
          <w:szCs w:val="22"/>
        </w:rPr>
        <w:t xml:space="preserve">implemented by a Department </w:t>
      </w:r>
      <w:r w:rsidRPr="00876B4D">
        <w:rPr>
          <w:rFonts w:ascii="Times New Roman" w:hAnsi="Times New Roman" w:cs="Times New Roman"/>
          <w:w w:val="105"/>
          <w:sz w:val="22"/>
          <w:szCs w:val="22"/>
        </w:rPr>
        <w:t>shall be limited to twenty percent (20%)</w:t>
      </w:r>
      <w:r w:rsidR="00947A0F" w:rsidRPr="00876B4D">
        <w:rPr>
          <w:rFonts w:ascii="Times New Roman" w:hAnsi="Times New Roman" w:cs="Times New Roman"/>
          <w:w w:val="105"/>
          <w:sz w:val="22"/>
          <w:szCs w:val="22"/>
        </w:rPr>
        <w:t xml:space="preserve"> of total base salary per year; further reductions justified by extraordinary circumstances may be made subject to the approval of the PSOM/CPUP SVP and PSOM Dean. </w:t>
      </w:r>
    </w:p>
    <w:p w14:paraId="101BBA76" w14:textId="77777777" w:rsidR="000038EC" w:rsidRPr="00876B4D" w:rsidRDefault="000038EC" w:rsidP="000038EC">
      <w:pPr>
        <w:pStyle w:val="ListParagraph"/>
        <w:rPr>
          <w:w w:val="105"/>
          <w:sz w:val="22"/>
          <w:szCs w:val="22"/>
        </w:rPr>
      </w:pPr>
    </w:p>
    <w:p w14:paraId="12CCF6AB" w14:textId="2182223F" w:rsidR="000038EC" w:rsidRPr="00876B4D" w:rsidRDefault="000038EC" w:rsidP="000038EC">
      <w:pPr>
        <w:pStyle w:val="BodyText"/>
        <w:numPr>
          <w:ilvl w:val="0"/>
          <w:numId w:val="16"/>
        </w:numPr>
        <w:ind w:right="10"/>
        <w:jc w:val="both"/>
        <w:rPr>
          <w:rFonts w:ascii="Times New Roman" w:hAnsi="Times New Roman" w:cs="Times New Roman"/>
          <w:w w:val="105"/>
          <w:sz w:val="22"/>
          <w:szCs w:val="22"/>
        </w:rPr>
      </w:pPr>
      <w:r w:rsidRPr="00876B4D">
        <w:rPr>
          <w:rFonts w:ascii="Times New Roman" w:hAnsi="Times New Roman" w:cs="Times New Roman"/>
          <w:w w:val="105"/>
          <w:sz w:val="22"/>
          <w:szCs w:val="22"/>
        </w:rPr>
        <w:t>If</w:t>
      </w:r>
      <w:r w:rsidRPr="00876B4D">
        <w:rPr>
          <w:rFonts w:ascii="Times New Roman" w:hAnsi="Times New Roman" w:cs="Times New Roman"/>
          <w:spacing w:val="40"/>
          <w:w w:val="105"/>
          <w:sz w:val="22"/>
          <w:szCs w:val="22"/>
        </w:rPr>
        <w:t xml:space="preserve"> </w:t>
      </w:r>
      <w:r w:rsidRPr="00876B4D">
        <w:rPr>
          <w:rFonts w:ascii="Times New Roman" w:hAnsi="Times New Roman" w:cs="Times New Roman"/>
          <w:w w:val="105"/>
          <w:sz w:val="22"/>
          <w:szCs w:val="22"/>
        </w:rPr>
        <w:t>the faculty member achieves an</w:t>
      </w:r>
      <w:r w:rsidRPr="00876B4D">
        <w:rPr>
          <w:rFonts w:ascii="Times New Roman" w:hAnsi="Times New Roman" w:cs="Times New Roman"/>
          <w:spacing w:val="-3"/>
          <w:w w:val="105"/>
          <w:sz w:val="22"/>
          <w:szCs w:val="22"/>
        </w:rPr>
        <w:t xml:space="preserve"> </w:t>
      </w:r>
      <w:r w:rsidRPr="00876B4D">
        <w:rPr>
          <w:rFonts w:ascii="Times New Roman" w:hAnsi="Times New Roman" w:cs="Times New Roman"/>
          <w:w w:val="105"/>
          <w:sz w:val="22"/>
          <w:szCs w:val="22"/>
        </w:rPr>
        <w:t>adequate level of productivity, these reductions may be</w:t>
      </w:r>
      <w:r w:rsidRPr="00876B4D">
        <w:rPr>
          <w:rFonts w:ascii="Times New Roman" w:hAnsi="Times New Roman" w:cs="Times New Roman"/>
          <w:spacing w:val="-1"/>
          <w:w w:val="105"/>
          <w:sz w:val="22"/>
          <w:szCs w:val="22"/>
        </w:rPr>
        <w:t xml:space="preserve"> </w:t>
      </w:r>
      <w:r w:rsidRPr="00876B4D">
        <w:rPr>
          <w:rFonts w:ascii="Times New Roman" w:hAnsi="Times New Roman" w:cs="Times New Roman"/>
          <w:w w:val="105"/>
          <w:sz w:val="22"/>
          <w:szCs w:val="22"/>
        </w:rPr>
        <w:t>reversed</w:t>
      </w:r>
      <w:r w:rsidR="00960041" w:rsidRPr="00876B4D">
        <w:rPr>
          <w:rFonts w:ascii="Times New Roman" w:hAnsi="Times New Roman" w:cs="Times New Roman"/>
          <w:w w:val="105"/>
          <w:sz w:val="22"/>
          <w:szCs w:val="22"/>
        </w:rPr>
        <w:t xml:space="preserve"> in subsequent fiscal </w:t>
      </w:r>
      <w:r w:rsidR="00876B4D" w:rsidRPr="00876B4D">
        <w:rPr>
          <w:rFonts w:ascii="Times New Roman" w:hAnsi="Times New Roman" w:cs="Times New Roman"/>
          <w:w w:val="105"/>
          <w:sz w:val="22"/>
          <w:szCs w:val="22"/>
        </w:rPr>
        <w:t>years but</w:t>
      </w:r>
      <w:r w:rsidR="00960041" w:rsidRPr="00876B4D">
        <w:rPr>
          <w:rFonts w:ascii="Times New Roman" w:hAnsi="Times New Roman" w:cs="Times New Roman"/>
          <w:w w:val="105"/>
          <w:sz w:val="22"/>
          <w:szCs w:val="22"/>
        </w:rPr>
        <w:t xml:space="preserve"> may not be reversed </w:t>
      </w:r>
      <w:r w:rsidR="00AB30C8" w:rsidRPr="00876B4D">
        <w:rPr>
          <w:rFonts w:ascii="Times New Roman" w:hAnsi="Times New Roman" w:cs="Times New Roman"/>
          <w:w w:val="105"/>
          <w:sz w:val="22"/>
          <w:szCs w:val="22"/>
        </w:rPr>
        <w:t>solely due to</w:t>
      </w:r>
      <w:r w:rsidR="00960041" w:rsidRPr="00876B4D">
        <w:rPr>
          <w:rFonts w:ascii="Times New Roman" w:hAnsi="Times New Roman" w:cs="Times New Roman"/>
          <w:w w:val="105"/>
          <w:sz w:val="22"/>
          <w:szCs w:val="22"/>
        </w:rPr>
        <w:t xml:space="preserve"> the receipt of a grant award</w:t>
      </w:r>
      <w:r w:rsidRPr="00876B4D">
        <w:rPr>
          <w:rFonts w:ascii="Times New Roman" w:hAnsi="Times New Roman" w:cs="Times New Roman"/>
          <w:w w:val="105"/>
          <w:sz w:val="22"/>
          <w:szCs w:val="22"/>
        </w:rPr>
        <w:t>.</w:t>
      </w:r>
    </w:p>
    <w:p w14:paraId="5C1FC1A1" w14:textId="77777777" w:rsidR="000038EC" w:rsidRPr="00876B4D" w:rsidRDefault="000038EC" w:rsidP="000038EC">
      <w:pPr>
        <w:jc w:val="both"/>
        <w:rPr>
          <w:sz w:val="22"/>
          <w:szCs w:val="22"/>
        </w:rPr>
      </w:pPr>
    </w:p>
    <w:p w14:paraId="49543094" w14:textId="5F4F1653" w:rsidR="000038EC" w:rsidRPr="00876B4D" w:rsidRDefault="000038EC" w:rsidP="000038EC">
      <w:pPr>
        <w:jc w:val="both"/>
        <w:rPr>
          <w:sz w:val="22"/>
          <w:szCs w:val="22"/>
        </w:rPr>
      </w:pPr>
      <w:r w:rsidRPr="00876B4D">
        <w:rPr>
          <w:sz w:val="22"/>
          <w:szCs w:val="22"/>
        </w:rPr>
        <w:t xml:space="preserve">A CPUP member who is projected to fail to achieve his/her </w:t>
      </w:r>
      <w:r w:rsidR="00960041" w:rsidRPr="00876B4D">
        <w:rPr>
          <w:sz w:val="22"/>
          <w:szCs w:val="22"/>
        </w:rPr>
        <w:t xml:space="preserve">clinical </w:t>
      </w:r>
      <w:r w:rsidRPr="00876B4D">
        <w:rPr>
          <w:sz w:val="22"/>
          <w:szCs w:val="22"/>
        </w:rPr>
        <w:t>productivity threshold based on two quarters may submit a corrective plan to the Department Chair within 30 days of notification.</w:t>
      </w:r>
    </w:p>
    <w:p w14:paraId="3DD8779B" w14:textId="77777777" w:rsidR="000038EC" w:rsidRPr="00876B4D" w:rsidRDefault="000038EC" w:rsidP="000038EC">
      <w:pPr>
        <w:numPr>
          <w:ilvl w:val="6"/>
          <w:numId w:val="4"/>
        </w:numPr>
        <w:ind w:left="720"/>
        <w:jc w:val="both"/>
        <w:rPr>
          <w:sz w:val="22"/>
          <w:szCs w:val="22"/>
        </w:rPr>
      </w:pPr>
      <w:r w:rsidRPr="00876B4D">
        <w:rPr>
          <w:sz w:val="22"/>
          <w:szCs w:val="22"/>
        </w:rPr>
        <w:t>The action plan may include taking on additional clinical responsibilities (on-call, inpatient services, additional clinic sessions, etc.).</w:t>
      </w:r>
    </w:p>
    <w:p w14:paraId="347146FB" w14:textId="77777777" w:rsidR="000038EC" w:rsidRPr="00876B4D" w:rsidRDefault="000038EC" w:rsidP="000038EC">
      <w:pPr>
        <w:numPr>
          <w:ilvl w:val="0"/>
          <w:numId w:val="5"/>
        </w:numPr>
        <w:jc w:val="both"/>
        <w:rPr>
          <w:sz w:val="22"/>
          <w:szCs w:val="22"/>
        </w:rPr>
      </w:pPr>
      <w:r w:rsidRPr="00876B4D">
        <w:rPr>
          <w:sz w:val="22"/>
          <w:szCs w:val="22"/>
        </w:rPr>
        <w:t xml:space="preserve">Reasonable time will be allowed for the action plan to achieve its desired results.  </w:t>
      </w:r>
    </w:p>
    <w:p w14:paraId="78BCE492" w14:textId="7F5883A5" w:rsidR="000038EC" w:rsidRPr="00876B4D" w:rsidRDefault="000038EC" w:rsidP="000038EC">
      <w:pPr>
        <w:numPr>
          <w:ilvl w:val="0"/>
          <w:numId w:val="5"/>
        </w:numPr>
        <w:jc w:val="both"/>
        <w:rPr>
          <w:sz w:val="22"/>
          <w:szCs w:val="22"/>
        </w:rPr>
      </w:pPr>
      <w:r w:rsidRPr="00876B4D">
        <w:rPr>
          <w:sz w:val="22"/>
          <w:szCs w:val="22"/>
        </w:rPr>
        <w:t>In the event that the action plan does not yield the expected results or is not sufficiently robust to address the projected negative variance by the end of the fiscal year, the Department Chair may reduce the faculty member’s Base Salary Supplement until projected Total Base Salary is either consistent with the faculty member’s productivity threshold, or reduced to the Academic Base (for Tenure and CE faculty only), whichever is higher.  (Note</w:t>
      </w:r>
      <w:r w:rsidR="00876B4D" w:rsidRPr="00876B4D">
        <w:rPr>
          <w:sz w:val="22"/>
          <w:szCs w:val="22"/>
        </w:rPr>
        <w:t>: There</w:t>
      </w:r>
      <w:r w:rsidRPr="00876B4D">
        <w:rPr>
          <w:sz w:val="22"/>
          <w:szCs w:val="22"/>
        </w:rPr>
        <w:t xml:space="preserve"> is no minimum required salary for Penn Medicine Clinicians, and if necessary, Staff Salary in addition to Base Salary Supplement may be reduced to achieve parity with the clinician’s productivity.)  </w:t>
      </w:r>
    </w:p>
    <w:p w14:paraId="0199A9A2" w14:textId="77777777" w:rsidR="000038EC" w:rsidRPr="00876B4D" w:rsidRDefault="000038EC" w:rsidP="000038EC">
      <w:pPr>
        <w:pStyle w:val="BodyText"/>
        <w:ind w:left="-6" w:right="10"/>
        <w:jc w:val="both"/>
        <w:rPr>
          <w:rFonts w:ascii="Times New Roman" w:hAnsi="Times New Roman" w:cs="Times New Roman"/>
          <w:w w:val="105"/>
          <w:sz w:val="22"/>
          <w:szCs w:val="22"/>
        </w:rPr>
      </w:pPr>
    </w:p>
    <w:p w14:paraId="7F0D513D" w14:textId="291C4692" w:rsidR="000038EC" w:rsidRPr="00876B4D" w:rsidRDefault="000038EC" w:rsidP="000603F2">
      <w:pPr>
        <w:pStyle w:val="BodyText"/>
        <w:ind w:left="-6" w:right="10"/>
        <w:jc w:val="both"/>
        <w:rPr>
          <w:rFonts w:ascii="Times New Roman" w:hAnsi="Times New Roman" w:cs="Times New Roman"/>
          <w:sz w:val="22"/>
          <w:szCs w:val="22"/>
        </w:rPr>
      </w:pPr>
      <w:r w:rsidRPr="00876B4D">
        <w:rPr>
          <w:rFonts w:ascii="Times New Roman" w:hAnsi="Times New Roman" w:cs="Times New Roman"/>
          <w:w w:val="105"/>
          <w:sz w:val="22"/>
          <w:szCs w:val="22"/>
        </w:rPr>
        <w:t>If</w:t>
      </w:r>
      <w:r w:rsidRPr="00876B4D">
        <w:rPr>
          <w:rFonts w:ascii="Times New Roman" w:hAnsi="Times New Roman" w:cs="Times New Roman"/>
          <w:spacing w:val="40"/>
          <w:w w:val="105"/>
          <w:sz w:val="22"/>
          <w:szCs w:val="22"/>
        </w:rPr>
        <w:t xml:space="preserve"> </w:t>
      </w:r>
      <w:r w:rsidRPr="00876B4D">
        <w:rPr>
          <w:rFonts w:ascii="Times New Roman" w:hAnsi="Times New Roman" w:cs="Times New Roman"/>
          <w:w w:val="105"/>
          <w:sz w:val="22"/>
          <w:szCs w:val="22"/>
        </w:rPr>
        <w:t>the</w:t>
      </w:r>
      <w:r w:rsidRPr="00876B4D">
        <w:rPr>
          <w:rFonts w:ascii="Times New Roman" w:hAnsi="Times New Roman" w:cs="Times New Roman"/>
          <w:spacing w:val="38"/>
          <w:w w:val="105"/>
          <w:sz w:val="22"/>
          <w:szCs w:val="22"/>
        </w:rPr>
        <w:t xml:space="preserve"> </w:t>
      </w:r>
      <w:r w:rsidRPr="00876B4D">
        <w:rPr>
          <w:rFonts w:ascii="Times New Roman" w:hAnsi="Times New Roman" w:cs="Times New Roman"/>
          <w:w w:val="105"/>
          <w:sz w:val="22"/>
          <w:szCs w:val="22"/>
        </w:rPr>
        <w:t>chair determines that a faculty member’s salary should be</w:t>
      </w:r>
      <w:r w:rsidRPr="00876B4D">
        <w:rPr>
          <w:rFonts w:ascii="Times New Roman" w:hAnsi="Times New Roman" w:cs="Times New Roman"/>
          <w:spacing w:val="-1"/>
          <w:w w:val="105"/>
          <w:sz w:val="22"/>
          <w:szCs w:val="22"/>
        </w:rPr>
        <w:t xml:space="preserve"> </w:t>
      </w:r>
      <w:r w:rsidRPr="00876B4D">
        <w:rPr>
          <w:rFonts w:ascii="Times New Roman" w:hAnsi="Times New Roman" w:cs="Times New Roman"/>
          <w:w w:val="105"/>
          <w:sz w:val="22"/>
          <w:szCs w:val="22"/>
        </w:rPr>
        <w:t>reduced, this recommendation should be reviewed with the</w:t>
      </w:r>
      <w:r w:rsidRPr="00876B4D">
        <w:rPr>
          <w:rFonts w:ascii="Times New Roman" w:hAnsi="Times New Roman" w:cs="Times New Roman"/>
          <w:spacing w:val="-2"/>
          <w:w w:val="105"/>
          <w:sz w:val="22"/>
          <w:szCs w:val="22"/>
        </w:rPr>
        <w:t xml:space="preserve"> Office of the </w:t>
      </w:r>
      <w:r w:rsidRPr="00876B4D">
        <w:rPr>
          <w:rFonts w:ascii="Times New Roman" w:hAnsi="Times New Roman" w:cs="Times New Roman"/>
          <w:w w:val="105"/>
          <w:sz w:val="22"/>
          <w:szCs w:val="22"/>
        </w:rPr>
        <w:t>Dean</w:t>
      </w:r>
      <w:r w:rsidR="00960041" w:rsidRPr="00876B4D">
        <w:rPr>
          <w:rFonts w:ascii="Times New Roman" w:hAnsi="Times New Roman" w:cs="Times New Roman"/>
          <w:w w:val="105"/>
          <w:sz w:val="22"/>
          <w:szCs w:val="22"/>
        </w:rPr>
        <w:t xml:space="preserve"> as part of the annual salary increase process</w:t>
      </w:r>
      <w:r w:rsidRPr="00876B4D">
        <w:rPr>
          <w:rFonts w:ascii="Times New Roman" w:hAnsi="Times New Roman" w:cs="Times New Roman"/>
          <w:w w:val="105"/>
          <w:sz w:val="22"/>
          <w:szCs w:val="22"/>
        </w:rPr>
        <w:t>.</w:t>
      </w:r>
    </w:p>
    <w:p w14:paraId="3CF28381" w14:textId="77777777" w:rsidR="000038EC" w:rsidRPr="00876B4D" w:rsidRDefault="000038EC" w:rsidP="000603F2">
      <w:pPr>
        <w:pStyle w:val="BodyText"/>
        <w:ind w:right="10"/>
        <w:jc w:val="both"/>
        <w:rPr>
          <w:rFonts w:ascii="Times New Roman" w:hAnsi="Times New Roman" w:cs="Times New Roman"/>
          <w:sz w:val="22"/>
          <w:szCs w:val="22"/>
        </w:rPr>
      </w:pPr>
    </w:p>
    <w:p w14:paraId="71823396" w14:textId="7985BA51" w:rsidR="00960041" w:rsidRPr="00876B4D" w:rsidRDefault="000038EC" w:rsidP="000603F2">
      <w:pPr>
        <w:jc w:val="both"/>
        <w:rPr>
          <w:sz w:val="22"/>
          <w:szCs w:val="22"/>
        </w:rPr>
      </w:pPr>
      <w:r w:rsidRPr="00876B4D">
        <w:rPr>
          <w:sz w:val="22"/>
          <w:szCs w:val="22"/>
        </w:rPr>
        <w:t xml:space="preserve">The </w:t>
      </w:r>
      <w:r w:rsidR="00AB30C8" w:rsidRPr="00876B4D">
        <w:rPr>
          <w:sz w:val="22"/>
          <w:szCs w:val="22"/>
        </w:rPr>
        <w:t xml:space="preserve">Total </w:t>
      </w:r>
      <w:r w:rsidRPr="00876B4D">
        <w:rPr>
          <w:sz w:val="22"/>
          <w:szCs w:val="22"/>
        </w:rPr>
        <w:t xml:space="preserve">Base </w:t>
      </w:r>
      <w:r w:rsidR="00AB30C8" w:rsidRPr="00876B4D">
        <w:rPr>
          <w:sz w:val="22"/>
          <w:szCs w:val="22"/>
        </w:rPr>
        <w:t>Salary m</w:t>
      </w:r>
      <w:r w:rsidRPr="00876B4D">
        <w:rPr>
          <w:sz w:val="22"/>
          <w:szCs w:val="22"/>
        </w:rPr>
        <w:t xml:space="preserve">ay be reduced </w:t>
      </w:r>
      <w:proofErr w:type="gramStart"/>
      <w:r w:rsidRPr="00876B4D">
        <w:rPr>
          <w:sz w:val="22"/>
          <w:szCs w:val="22"/>
        </w:rPr>
        <w:t>in the event that</w:t>
      </w:r>
      <w:proofErr w:type="gramEnd"/>
      <w:r w:rsidRPr="00876B4D">
        <w:rPr>
          <w:sz w:val="22"/>
          <w:szCs w:val="22"/>
        </w:rPr>
        <w:t xml:space="preserve"> a faculty member goes </w:t>
      </w:r>
      <w:proofErr w:type="gramStart"/>
      <w:r w:rsidRPr="00876B4D">
        <w:rPr>
          <w:sz w:val="22"/>
          <w:szCs w:val="22"/>
        </w:rPr>
        <w:t>part-time,</w:t>
      </w:r>
      <w:r w:rsidR="00960041" w:rsidRPr="00876B4D">
        <w:rPr>
          <w:sz w:val="22"/>
          <w:szCs w:val="22"/>
        </w:rPr>
        <w:t xml:space="preserve"> or</w:t>
      </w:r>
      <w:proofErr w:type="gramEnd"/>
      <w:r w:rsidRPr="00876B4D">
        <w:rPr>
          <w:sz w:val="22"/>
          <w:szCs w:val="22"/>
        </w:rPr>
        <w:t xml:space="preserve"> begins a reduction in duties </w:t>
      </w:r>
      <w:r w:rsidR="00960041" w:rsidRPr="00876B4D">
        <w:rPr>
          <w:sz w:val="22"/>
          <w:szCs w:val="22"/>
        </w:rPr>
        <w:t xml:space="preserve">in anticipation of retirement </w:t>
      </w:r>
      <w:r w:rsidRPr="00876B4D">
        <w:rPr>
          <w:sz w:val="22"/>
          <w:szCs w:val="22"/>
        </w:rPr>
        <w:t xml:space="preserve">under </w:t>
      </w:r>
      <w:proofErr w:type="gramStart"/>
      <w:r w:rsidRPr="00876B4D">
        <w:rPr>
          <w:sz w:val="22"/>
          <w:szCs w:val="22"/>
        </w:rPr>
        <w:t>University</w:t>
      </w:r>
      <w:proofErr w:type="gramEnd"/>
      <w:r w:rsidRPr="00876B4D">
        <w:rPr>
          <w:sz w:val="22"/>
          <w:szCs w:val="22"/>
        </w:rPr>
        <w:t xml:space="preserve"> policy</w:t>
      </w:r>
      <w:r w:rsidR="00960041" w:rsidRPr="00876B4D">
        <w:rPr>
          <w:sz w:val="22"/>
          <w:szCs w:val="22"/>
        </w:rPr>
        <w:t xml:space="preserve">.  </w:t>
      </w:r>
      <w:r w:rsidRPr="00876B4D">
        <w:rPr>
          <w:sz w:val="22"/>
          <w:szCs w:val="22"/>
        </w:rPr>
        <w:t xml:space="preserve"> </w:t>
      </w:r>
    </w:p>
    <w:p w14:paraId="1ACFA9A4" w14:textId="77777777" w:rsidR="00960041" w:rsidRPr="00876B4D" w:rsidRDefault="00960041" w:rsidP="000603F2">
      <w:pPr>
        <w:jc w:val="both"/>
        <w:rPr>
          <w:sz w:val="22"/>
          <w:szCs w:val="22"/>
        </w:rPr>
      </w:pPr>
    </w:p>
    <w:p w14:paraId="3EABB1EC" w14:textId="08E1E2D1" w:rsidR="000038EC" w:rsidRPr="00876B4D" w:rsidRDefault="00960041" w:rsidP="000603F2">
      <w:pPr>
        <w:jc w:val="both"/>
        <w:rPr>
          <w:sz w:val="22"/>
          <w:szCs w:val="22"/>
        </w:rPr>
      </w:pPr>
      <w:r w:rsidRPr="00876B4D">
        <w:rPr>
          <w:sz w:val="22"/>
          <w:szCs w:val="22"/>
        </w:rPr>
        <w:t xml:space="preserve">For faculty on leave for </w:t>
      </w:r>
      <w:r w:rsidR="00AB30C8" w:rsidRPr="00876B4D">
        <w:rPr>
          <w:sz w:val="22"/>
          <w:szCs w:val="22"/>
        </w:rPr>
        <w:t xml:space="preserve">sabbatical, or </w:t>
      </w:r>
      <w:r w:rsidRPr="00876B4D">
        <w:rPr>
          <w:sz w:val="22"/>
          <w:szCs w:val="22"/>
        </w:rPr>
        <w:t xml:space="preserve">other </w:t>
      </w:r>
      <w:r w:rsidR="00AB30C8" w:rsidRPr="00876B4D">
        <w:rPr>
          <w:sz w:val="22"/>
          <w:szCs w:val="22"/>
        </w:rPr>
        <w:t xml:space="preserve">time limited </w:t>
      </w:r>
      <w:r w:rsidRPr="00876B4D">
        <w:rPr>
          <w:sz w:val="22"/>
          <w:szCs w:val="22"/>
        </w:rPr>
        <w:t xml:space="preserve">reasons, </w:t>
      </w:r>
      <w:r w:rsidR="000038EC" w:rsidRPr="00876B4D">
        <w:rPr>
          <w:sz w:val="22"/>
          <w:szCs w:val="22"/>
        </w:rPr>
        <w:t xml:space="preserve">or </w:t>
      </w:r>
      <w:r w:rsidRPr="00876B4D">
        <w:rPr>
          <w:sz w:val="22"/>
          <w:szCs w:val="22"/>
        </w:rPr>
        <w:t xml:space="preserve">who </w:t>
      </w:r>
      <w:r w:rsidR="000038EC" w:rsidRPr="00876B4D">
        <w:rPr>
          <w:sz w:val="22"/>
          <w:szCs w:val="22"/>
        </w:rPr>
        <w:t>move</w:t>
      </w:r>
      <w:r w:rsidRPr="00876B4D">
        <w:rPr>
          <w:sz w:val="22"/>
          <w:szCs w:val="22"/>
        </w:rPr>
        <w:t xml:space="preserve"> </w:t>
      </w:r>
      <w:r w:rsidR="000038EC" w:rsidRPr="00876B4D">
        <w:rPr>
          <w:sz w:val="22"/>
          <w:szCs w:val="22"/>
        </w:rPr>
        <w:t>a significant portion of his/her time to the Veterans Administration (VA)</w:t>
      </w:r>
      <w:r w:rsidRPr="00876B4D">
        <w:rPr>
          <w:sz w:val="22"/>
          <w:szCs w:val="22"/>
        </w:rPr>
        <w:t xml:space="preserve">, their </w:t>
      </w:r>
      <w:proofErr w:type="gramStart"/>
      <w:r w:rsidRPr="00876B4D">
        <w:rPr>
          <w:sz w:val="22"/>
          <w:szCs w:val="22"/>
        </w:rPr>
        <w:t>University</w:t>
      </w:r>
      <w:proofErr w:type="gramEnd"/>
      <w:r w:rsidRPr="00876B4D">
        <w:rPr>
          <w:sz w:val="22"/>
          <w:szCs w:val="22"/>
        </w:rPr>
        <w:t xml:space="preserve"> pay may be reduced to be commensurate with their sabbatical </w:t>
      </w:r>
      <w:r w:rsidR="00AB30C8" w:rsidRPr="00876B4D">
        <w:rPr>
          <w:sz w:val="22"/>
          <w:szCs w:val="22"/>
        </w:rPr>
        <w:t xml:space="preserve">terms </w:t>
      </w:r>
      <w:r w:rsidRPr="00876B4D">
        <w:rPr>
          <w:sz w:val="22"/>
          <w:szCs w:val="22"/>
        </w:rPr>
        <w:t xml:space="preserve">or VA </w:t>
      </w:r>
      <w:r w:rsidR="00AB30C8" w:rsidRPr="00876B4D">
        <w:rPr>
          <w:sz w:val="22"/>
          <w:szCs w:val="22"/>
        </w:rPr>
        <w:t>8ths</w:t>
      </w:r>
      <w:r w:rsidRPr="00876B4D">
        <w:rPr>
          <w:sz w:val="22"/>
          <w:szCs w:val="22"/>
        </w:rPr>
        <w:t>.</w:t>
      </w:r>
      <w:r w:rsidRPr="00876B4D" w:rsidDel="00960041">
        <w:rPr>
          <w:sz w:val="22"/>
          <w:szCs w:val="22"/>
        </w:rPr>
        <w:t xml:space="preserve"> </w:t>
      </w:r>
    </w:p>
    <w:p w14:paraId="5BD57E34" w14:textId="77777777" w:rsidR="000038EC" w:rsidRPr="00876B4D" w:rsidRDefault="000038EC" w:rsidP="001C757F">
      <w:pPr>
        <w:jc w:val="both"/>
        <w:rPr>
          <w:w w:val="105"/>
          <w:sz w:val="22"/>
          <w:szCs w:val="22"/>
        </w:rPr>
      </w:pPr>
    </w:p>
    <w:p w14:paraId="28577812" w14:textId="77777777" w:rsidR="000038EC" w:rsidRPr="00876B4D" w:rsidRDefault="000038EC" w:rsidP="000603F2">
      <w:pPr>
        <w:jc w:val="both"/>
        <w:rPr>
          <w:sz w:val="22"/>
          <w:szCs w:val="22"/>
        </w:rPr>
      </w:pPr>
      <w:r w:rsidRPr="00876B4D">
        <w:rPr>
          <w:sz w:val="22"/>
          <w:szCs w:val="22"/>
        </w:rPr>
        <w:t xml:space="preserve">Notice of any reduction in salary must be communicated to the CPUP </w:t>
      </w:r>
      <w:proofErr w:type="gramStart"/>
      <w:r w:rsidRPr="00876B4D">
        <w:rPr>
          <w:sz w:val="22"/>
          <w:szCs w:val="22"/>
        </w:rPr>
        <w:t>member</w:t>
      </w:r>
      <w:proofErr w:type="gramEnd"/>
      <w:r w:rsidRPr="00876B4D">
        <w:rPr>
          <w:sz w:val="22"/>
          <w:szCs w:val="22"/>
        </w:rPr>
        <w:t xml:space="preserve"> consistent with University, Perelman School of Medicine and CPUP policies, but in no event later than June 30 for the following fiscal year.  </w:t>
      </w:r>
    </w:p>
    <w:p w14:paraId="3EA60296" w14:textId="77777777" w:rsidR="000038EC" w:rsidRPr="00876B4D" w:rsidRDefault="000038EC" w:rsidP="000603F2">
      <w:pPr>
        <w:jc w:val="both"/>
        <w:rPr>
          <w:sz w:val="22"/>
          <w:szCs w:val="22"/>
        </w:rPr>
      </w:pPr>
    </w:p>
    <w:p w14:paraId="01BE093D" w14:textId="77777777" w:rsidR="000038EC" w:rsidRPr="00876B4D" w:rsidRDefault="000038EC" w:rsidP="000603F2">
      <w:pPr>
        <w:pStyle w:val="BodyText"/>
        <w:ind w:right="10"/>
        <w:jc w:val="both"/>
        <w:rPr>
          <w:rFonts w:ascii="Times New Roman" w:hAnsi="Times New Roman" w:cs="Times New Roman"/>
          <w:w w:val="105"/>
          <w:sz w:val="22"/>
          <w:szCs w:val="22"/>
        </w:rPr>
      </w:pPr>
      <w:r w:rsidRPr="00876B4D">
        <w:rPr>
          <w:rFonts w:ascii="Times New Roman" w:hAnsi="Times New Roman" w:cs="Times New Roman"/>
          <w:w w:val="105"/>
          <w:sz w:val="22"/>
          <w:szCs w:val="22"/>
        </w:rPr>
        <w:t xml:space="preserve">A determination that a faculty member’s salary shall be reduced, once communicated by the department chair to the faculty member, may be appealed by the faculty member to the Office of the Dean. The faculty member must initiate the appeal within 30 days of the communication by submitting a written statement explaining the basis for the faculty member’s view that no reduction (or a smaller reduction) is warranted under the circumstances, with reference made to past, current, and/or expected clinical practice income or external funding relevant to the determination. </w:t>
      </w:r>
    </w:p>
    <w:p w14:paraId="72752D58" w14:textId="77777777" w:rsidR="000038EC" w:rsidRPr="00876B4D" w:rsidRDefault="000038EC" w:rsidP="000038EC">
      <w:pPr>
        <w:jc w:val="both"/>
        <w:rPr>
          <w:sz w:val="22"/>
          <w:szCs w:val="22"/>
        </w:rPr>
      </w:pPr>
    </w:p>
    <w:p w14:paraId="45DFB47A" w14:textId="35A7C904" w:rsidR="000038EC" w:rsidRPr="00876B4D" w:rsidRDefault="000038EC" w:rsidP="000038EC">
      <w:pPr>
        <w:jc w:val="both"/>
        <w:rPr>
          <w:b/>
          <w:sz w:val="22"/>
          <w:szCs w:val="22"/>
        </w:rPr>
      </w:pPr>
      <w:r w:rsidRPr="00876B4D">
        <w:rPr>
          <w:b/>
          <w:sz w:val="22"/>
          <w:szCs w:val="22"/>
        </w:rPr>
        <w:t>DUE PROCESS</w:t>
      </w:r>
    </w:p>
    <w:p w14:paraId="321B784C" w14:textId="77777777" w:rsidR="000038EC" w:rsidRPr="00876B4D" w:rsidRDefault="000038EC" w:rsidP="000038EC">
      <w:pPr>
        <w:rPr>
          <w:sz w:val="22"/>
          <w:szCs w:val="22"/>
        </w:rPr>
      </w:pPr>
      <w:r w:rsidRPr="00876B4D">
        <w:rPr>
          <w:sz w:val="22"/>
          <w:szCs w:val="22"/>
        </w:rPr>
        <w:t>If a faculty member has a grievance concerning his/her compensation, he/she will proceed with the following process:</w:t>
      </w:r>
    </w:p>
    <w:p w14:paraId="62E2DC7D" w14:textId="77777777" w:rsidR="000038EC" w:rsidRPr="00876B4D" w:rsidRDefault="000038EC" w:rsidP="000038EC">
      <w:pPr>
        <w:numPr>
          <w:ilvl w:val="0"/>
          <w:numId w:val="11"/>
        </w:numPr>
        <w:spacing w:after="200" w:line="276" w:lineRule="auto"/>
        <w:contextualSpacing/>
        <w:rPr>
          <w:sz w:val="22"/>
          <w:szCs w:val="22"/>
        </w:rPr>
      </w:pPr>
      <w:r w:rsidRPr="00876B4D">
        <w:rPr>
          <w:sz w:val="22"/>
          <w:szCs w:val="22"/>
        </w:rPr>
        <w:t xml:space="preserve">Review and discuss with the respective Division Chief, or COO, as appropriate.  </w:t>
      </w:r>
    </w:p>
    <w:p w14:paraId="3431A24B" w14:textId="7CA1F480" w:rsidR="000038EC" w:rsidRPr="00876B4D" w:rsidRDefault="000038EC" w:rsidP="000038EC">
      <w:pPr>
        <w:numPr>
          <w:ilvl w:val="0"/>
          <w:numId w:val="10"/>
        </w:numPr>
        <w:spacing w:after="200" w:line="276" w:lineRule="auto"/>
        <w:contextualSpacing/>
        <w:rPr>
          <w:sz w:val="22"/>
          <w:szCs w:val="22"/>
        </w:rPr>
      </w:pPr>
      <w:r w:rsidRPr="00876B4D">
        <w:rPr>
          <w:sz w:val="22"/>
          <w:szCs w:val="22"/>
        </w:rPr>
        <w:t xml:space="preserve">If not </w:t>
      </w:r>
      <w:proofErr w:type="gramStart"/>
      <w:r w:rsidRPr="00876B4D">
        <w:rPr>
          <w:sz w:val="22"/>
          <w:szCs w:val="22"/>
        </w:rPr>
        <w:t>resolved</w:t>
      </w:r>
      <w:proofErr w:type="gramEnd"/>
      <w:r w:rsidRPr="00876B4D">
        <w:rPr>
          <w:sz w:val="22"/>
          <w:szCs w:val="22"/>
        </w:rPr>
        <w:t xml:space="preserve"> then submit a written </w:t>
      </w:r>
      <w:r w:rsidR="00876B4D" w:rsidRPr="00876B4D">
        <w:rPr>
          <w:sz w:val="22"/>
          <w:szCs w:val="22"/>
        </w:rPr>
        <w:t>grievance</w:t>
      </w:r>
      <w:r w:rsidRPr="00876B4D">
        <w:rPr>
          <w:sz w:val="22"/>
          <w:szCs w:val="22"/>
        </w:rPr>
        <w:t xml:space="preserve"> to the Chair whose decision will be final with in the PSOM. </w:t>
      </w:r>
    </w:p>
    <w:p w14:paraId="6F2BECE3" w14:textId="77777777" w:rsidR="000038EC" w:rsidRPr="00876B4D" w:rsidRDefault="000038EC" w:rsidP="000038EC">
      <w:pPr>
        <w:jc w:val="both"/>
        <w:rPr>
          <w:sz w:val="22"/>
          <w:szCs w:val="22"/>
        </w:rPr>
      </w:pPr>
    </w:p>
    <w:p w14:paraId="1776D5A0" w14:textId="10E41659" w:rsidR="00C0581F" w:rsidRPr="00876B4D" w:rsidRDefault="00C0581F" w:rsidP="00171703">
      <w:pPr>
        <w:jc w:val="both"/>
        <w:rPr>
          <w:b/>
          <w:sz w:val="22"/>
          <w:szCs w:val="22"/>
        </w:rPr>
      </w:pPr>
      <w:r w:rsidRPr="00876B4D">
        <w:rPr>
          <w:b/>
          <w:sz w:val="22"/>
          <w:szCs w:val="22"/>
        </w:rPr>
        <w:t>OVERSIGHT</w:t>
      </w:r>
    </w:p>
    <w:p w14:paraId="6AAB5C74" w14:textId="157E5E7B" w:rsidR="00171703" w:rsidRPr="00876B4D" w:rsidRDefault="00C0581F" w:rsidP="00171703">
      <w:pPr>
        <w:jc w:val="both"/>
        <w:rPr>
          <w:sz w:val="22"/>
          <w:szCs w:val="22"/>
        </w:rPr>
      </w:pPr>
      <w:r w:rsidRPr="00876B4D">
        <w:rPr>
          <w:sz w:val="22"/>
          <w:szCs w:val="22"/>
        </w:rPr>
        <w:t>Departmental c</w:t>
      </w:r>
      <w:r w:rsidR="00171703" w:rsidRPr="00876B4D">
        <w:rPr>
          <w:sz w:val="22"/>
          <w:szCs w:val="22"/>
        </w:rPr>
        <w:t xml:space="preserve">ompensation plans </w:t>
      </w:r>
      <w:r w:rsidRPr="00876B4D">
        <w:rPr>
          <w:sz w:val="22"/>
          <w:szCs w:val="22"/>
        </w:rPr>
        <w:t xml:space="preserve">including proposed criteria for setting base salary and incentive as a percentage of total target compensation </w:t>
      </w:r>
      <w:r w:rsidR="00171703" w:rsidRPr="00876B4D">
        <w:rPr>
          <w:sz w:val="22"/>
          <w:szCs w:val="22"/>
        </w:rPr>
        <w:t xml:space="preserve">and any proposed changes to the principles and guidelines described in this document </w:t>
      </w:r>
      <w:r w:rsidRPr="00876B4D">
        <w:rPr>
          <w:sz w:val="22"/>
          <w:szCs w:val="22"/>
        </w:rPr>
        <w:t>must</w:t>
      </w:r>
      <w:r w:rsidR="00171703" w:rsidRPr="00876B4D">
        <w:rPr>
          <w:sz w:val="22"/>
          <w:szCs w:val="22"/>
        </w:rPr>
        <w:t xml:space="preserve"> be presented to the Finance Committee’s </w:t>
      </w:r>
      <w:r w:rsidR="000603F2" w:rsidRPr="00876B4D">
        <w:rPr>
          <w:sz w:val="22"/>
          <w:szCs w:val="22"/>
        </w:rPr>
        <w:t>Physician</w:t>
      </w:r>
      <w:r w:rsidR="00171703" w:rsidRPr="00876B4D">
        <w:rPr>
          <w:sz w:val="22"/>
          <w:szCs w:val="22"/>
        </w:rPr>
        <w:t xml:space="preserve"> Compensation </w:t>
      </w:r>
      <w:r w:rsidR="000603F2" w:rsidRPr="00876B4D">
        <w:rPr>
          <w:sz w:val="22"/>
          <w:szCs w:val="22"/>
        </w:rPr>
        <w:t>Sub-</w:t>
      </w:r>
      <w:r w:rsidR="00171703" w:rsidRPr="00876B4D">
        <w:rPr>
          <w:sz w:val="22"/>
          <w:szCs w:val="22"/>
        </w:rPr>
        <w:t xml:space="preserve">Committee for review and approval.  In addition, departmental compensation plans </w:t>
      </w:r>
      <w:r w:rsidRPr="00876B4D">
        <w:rPr>
          <w:sz w:val="22"/>
          <w:szCs w:val="22"/>
        </w:rPr>
        <w:t>will</w:t>
      </w:r>
      <w:r w:rsidR="00171703" w:rsidRPr="00876B4D">
        <w:rPr>
          <w:sz w:val="22"/>
          <w:szCs w:val="22"/>
        </w:rPr>
        <w:t xml:space="preserve"> be reviewed at the time of departmental re-basing.  </w:t>
      </w:r>
    </w:p>
    <w:p w14:paraId="032BB1E9" w14:textId="77777777" w:rsidR="000038EC" w:rsidRPr="00876B4D" w:rsidRDefault="000038EC" w:rsidP="000038EC">
      <w:pPr>
        <w:ind w:left="360"/>
        <w:jc w:val="both"/>
        <w:rPr>
          <w:sz w:val="22"/>
          <w:szCs w:val="22"/>
        </w:rPr>
      </w:pPr>
    </w:p>
    <w:p w14:paraId="3E54EB6C" w14:textId="77777777" w:rsidR="000038EC" w:rsidRPr="00876B4D" w:rsidRDefault="000038EC" w:rsidP="000038EC">
      <w:pPr>
        <w:rPr>
          <w:sz w:val="22"/>
          <w:szCs w:val="22"/>
        </w:rPr>
      </w:pPr>
      <w:r w:rsidRPr="00876B4D">
        <w:rPr>
          <w:sz w:val="22"/>
          <w:szCs w:val="22"/>
        </w:rPr>
        <w:t>This plan is approved as of [insert date] and supersedes all previous Department policies or plans regarding compensation.  The terms of this plan are subordinate to, and may be superseded by, the CPUP By Laws, or policies of the PSOM, UPHS and the University, in force at that time.</w:t>
      </w:r>
    </w:p>
    <w:p w14:paraId="5AD8556B" w14:textId="77777777" w:rsidR="000038EC" w:rsidRPr="00876B4D" w:rsidRDefault="000038EC" w:rsidP="000038EC">
      <w:pPr>
        <w:rPr>
          <w:sz w:val="22"/>
          <w:szCs w:val="22"/>
        </w:rPr>
      </w:pPr>
    </w:p>
    <w:p w14:paraId="3851C9C8" w14:textId="77777777" w:rsidR="000038EC" w:rsidRPr="00876B4D" w:rsidRDefault="000038EC" w:rsidP="000038EC">
      <w:pPr>
        <w:rPr>
          <w:sz w:val="22"/>
          <w:szCs w:val="22"/>
        </w:rPr>
      </w:pPr>
    </w:p>
    <w:p w14:paraId="34B6C451" w14:textId="6DFE23AB" w:rsidR="000038EC" w:rsidRPr="00876B4D" w:rsidRDefault="000038EC" w:rsidP="000038EC">
      <w:pPr>
        <w:rPr>
          <w:sz w:val="22"/>
          <w:szCs w:val="22"/>
        </w:rPr>
      </w:pPr>
      <w:r w:rsidRPr="00876B4D">
        <w:rPr>
          <w:sz w:val="22"/>
          <w:szCs w:val="22"/>
        </w:rPr>
        <w:t>Approved</w:t>
      </w:r>
      <w:r w:rsidR="00591EA4" w:rsidRPr="00876B4D">
        <w:rPr>
          <w:sz w:val="22"/>
          <w:szCs w:val="22"/>
        </w:rPr>
        <w:t xml:space="preserve"> by the CPUP Board of Directors on 2.21.25</w:t>
      </w:r>
      <w:r w:rsidR="00876B4D">
        <w:rPr>
          <w:sz w:val="22"/>
          <w:szCs w:val="22"/>
        </w:rPr>
        <w:t>; revised by CPUP Finance Committee 2.23.26.</w:t>
      </w:r>
    </w:p>
    <w:p w14:paraId="629615EA" w14:textId="77777777" w:rsidR="000038EC" w:rsidRPr="00876B4D" w:rsidRDefault="000038EC" w:rsidP="000038EC">
      <w:pPr>
        <w:rPr>
          <w:sz w:val="22"/>
          <w:szCs w:val="22"/>
        </w:rPr>
      </w:pPr>
    </w:p>
    <w:p w14:paraId="32D39E94" w14:textId="336A9247" w:rsidR="000038EC" w:rsidRPr="00876B4D" w:rsidRDefault="000038EC" w:rsidP="000038EC">
      <w:pPr>
        <w:jc w:val="both"/>
        <w:rPr>
          <w:sz w:val="22"/>
          <w:szCs w:val="22"/>
        </w:rPr>
      </w:pPr>
      <w:r w:rsidRPr="00876B4D">
        <w:rPr>
          <w:sz w:val="22"/>
          <w:szCs w:val="22"/>
        </w:rPr>
        <w:t xml:space="preserve">Authorized by    </w:t>
      </w:r>
      <w:r w:rsidR="00591EA4" w:rsidRPr="00876B4D">
        <w:rPr>
          <w:sz w:val="22"/>
          <w:szCs w:val="22"/>
        </w:rPr>
        <w:t>Deborah A. Driscoll, MD</w:t>
      </w:r>
    </w:p>
    <w:p w14:paraId="7B77752B" w14:textId="31FC778A" w:rsidR="000038EC" w:rsidRPr="00876B4D" w:rsidRDefault="000038EC" w:rsidP="000038EC">
      <w:pPr>
        <w:jc w:val="both"/>
        <w:rPr>
          <w:sz w:val="22"/>
          <w:szCs w:val="22"/>
        </w:rPr>
      </w:pPr>
      <w:r w:rsidRPr="00876B4D">
        <w:rPr>
          <w:sz w:val="22"/>
          <w:szCs w:val="22"/>
        </w:rPr>
        <w:tab/>
      </w:r>
      <w:r w:rsidRPr="00876B4D">
        <w:rPr>
          <w:sz w:val="22"/>
          <w:szCs w:val="22"/>
        </w:rPr>
        <w:tab/>
        <w:t xml:space="preserve"> </w:t>
      </w:r>
      <w:r w:rsidR="00591EA4" w:rsidRPr="00876B4D">
        <w:rPr>
          <w:sz w:val="22"/>
          <w:szCs w:val="22"/>
        </w:rPr>
        <w:t>SVP, CPUP and Vice Dean of Professional Services</w:t>
      </w:r>
    </w:p>
    <w:p w14:paraId="695D1801" w14:textId="77777777" w:rsidR="000603F2" w:rsidRPr="00876B4D" w:rsidRDefault="000603F2" w:rsidP="00F23BAE">
      <w:pPr>
        <w:ind w:left="360"/>
        <w:jc w:val="both"/>
        <w:rPr>
          <w:b/>
          <w:sz w:val="22"/>
          <w:szCs w:val="22"/>
        </w:rPr>
      </w:pPr>
    </w:p>
    <w:p w14:paraId="3C1E77B9" w14:textId="77777777" w:rsidR="000603F2" w:rsidRPr="00876B4D" w:rsidRDefault="000603F2" w:rsidP="00F23BAE">
      <w:pPr>
        <w:ind w:left="360"/>
        <w:jc w:val="both"/>
        <w:rPr>
          <w:b/>
          <w:sz w:val="22"/>
          <w:szCs w:val="22"/>
        </w:rPr>
      </w:pPr>
    </w:p>
    <w:p w14:paraId="799551D4" w14:textId="77777777" w:rsidR="000603F2" w:rsidRPr="00876B4D" w:rsidRDefault="000603F2" w:rsidP="00F23BAE">
      <w:pPr>
        <w:ind w:left="360"/>
        <w:jc w:val="both"/>
        <w:rPr>
          <w:b/>
          <w:sz w:val="22"/>
          <w:szCs w:val="22"/>
        </w:rPr>
      </w:pPr>
    </w:p>
    <w:p w14:paraId="4291D53A" w14:textId="77777777" w:rsidR="000603F2" w:rsidRPr="00876B4D" w:rsidRDefault="000603F2" w:rsidP="00F23BAE">
      <w:pPr>
        <w:ind w:left="360"/>
        <w:jc w:val="both"/>
        <w:rPr>
          <w:b/>
          <w:sz w:val="22"/>
          <w:szCs w:val="22"/>
        </w:rPr>
      </w:pPr>
    </w:p>
    <w:p w14:paraId="7F1A917C" w14:textId="1D9990C9" w:rsidR="000603F2" w:rsidRPr="00876B4D" w:rsidRDefault="000603F2" w:rsidP="00F23BAE">
      <w:pPr>
        <w:ind w:left="360"/>
        <w:jc w:val="both"/>
        <w:rPr>
          <w:b/>
          <w:sz w:val="22"/>
          <w:szCs w:val="22"/>
        </w:rPr>
      </w:pPr>
    </w:p>
    <w:p w14:paraId="5937EE4B" w14:textId="77777777" w:rsidR="00591EA4" w:rsidRPr="00876B4D" w:rsidRDefault="00591EA4" w:rsidP="00F23BAE">
      <w:pPr>
        <w:ind w:left="360"/>
        <w:jc w:val="both"/>
        <w:rPr>
          <w:b/>
          <w:sz w:val="22"/>
          <w:szCs w:val="22"/>
        </w:rPr>
      </w:pPr>
    </w:p>
    <w:p w14:paraId="72E8337C" w14:textId="77777777" w:rsidR="00591EA4" w:rsidRPr="00876B4D" w:rsidRDefault="00591EA4" w:rsidP="00F23BAE">
      <w:pPr>
        <w:ind w:left="360"/>
        <w:jc w:val="both"/>
        <w:rPr>
          <w:b/>
          <w:sz w:val="22"/>
          <w:szCs w:val="22"/>
        </w:rPr>
      </w:pPr>
    </w:p>
    <w:p w14:paraId="57516442" w14:textId="77777777" w:rsidR="00591EA4" w:rsidRPr="00876B4D" w:rsidRDefault="00591EA4" w:rsidP="00F23BAE">
      <w:pPr>
        <w:ind w:left="360"/>
        <w:jc w:val="both"/>
        <w:rPr>
          <w:b/>
          <w:sz w:val="22"/>
          <w:szCs w:val="22"/>
        </w:rPr>
      </w:pPr>
    </w:p>
    <w:p w14:paraId="13553AD1" w14:textId="77777777" w:rsidR="00591EA4" w:rsidRPr="00876B4D" w:rsidRDefault="00591EA4" w:rsidP="00F23BAE">
      <w:pPr>
        <w:ind w:left="360"/>
        <w:jc w:val="both"/>
        <w:rPr>
          <w:b/>
          <w:sz w:val="22"/>
          <w:szCs w:val="22"/>
        </w:rPr>
      </w:pPr>
    </w:p>
    <w:p w14:paraId="654F1CA9" w14:textId="77777777" w:rsidR="00591EA4" w:rsidRPr="00876B4D" w:rsidRDefault="00591EA4" w:rsidP="00F23BAE">
      <w:pPr>
        <w:ind w:left="360"/>
        <w:jc w:val="both"/>
        <w:rPr>
          <w:b/>
          <w:sz w:val="22"/>
          <w:szCs w:val="22"/>
        </w:rPr>
      </w:pPr>
    </w:p>
    <w:p w14:paraId="7E8149E1" w14:textId="77777777" w:rsidR="00591EA4" w:rsidRPr="00876B4D" w:rsidRDefault="00591EA4" w:rsidP="00F23BAE">
      <w:pPr>
        <w:ind w:left="360"/>
        <w:jc w:val="both"/>
        <w:rPr>
          <w:b/>
          <w:sz w:val="22"/>
          <w:szCs w:val="22"/>
        </w:rPr>
      </w:pPr>
    </w:p>
    <w:p w14:paraId="299AC5C7" w14:textId="77777777" w:rsidR="00591EA4" w:rsidRPr="00876B4D" w:rsidRDefault="00591EA4" w:rsidP="00F23BAE">
      <w:pPr>
        <w:ind w:left="360"/>
        <w:jc w:val="both"/>
        <w:rPr>
          <w:b/>
          <w:sz w:val="22"/>
          <w:szCs w:val="22"/>
        </w:rPr>
      </w:pPr>
    </w:p>
    <w:p w14:paraId="34AED9F4" w14:textId="77777777" w:rsidR="00591EA4" w:rsidRPr="00876B4D" w:rsidRDefault="00591EA4" w:rsidP="00F23BAE">
      <w:pPr>
        <w:ind w:left="360"/>
        <w:jc w:val="both"/>
        <w:rPr>
          <w:b/>
          <w:sz w:val="22"/>
          <w:szCs w:val="22"/>
        </w:rPr>
      </w:pPr>
    </w:p>
    <w:p w14:paraId="2866B03C" w14:textId="77777777" w:rsidR="00591EA4" w:rsidRPr="00876B4D" w:rsidRDefault="00591EA4" w:rsidP="00F23BAE">
      <w:pPr>
        <w:ind w:left="360"/>
        <w:jc w:val="both"/>
        <w:rPr>
          <w:b/>
          <w:sz w:val="22"/>
          <w:szCs w:val="22"/>
        </w:rPr>
      </w:pPr>
    </w:p>
    <w:p w14:paraId="0452DAA6" w14:textId="77777777" w:rsidR="00591EA4" w:rsidRPr="00876B4D" w:rsidRDefault="00591EA4" w:rsidP="00F23BAE">
      <w:pPr>
        <w:ind w:left="360"/>
        <w:jc w:val="both"/>
        <w:rPr>
          <w:b/>
          <w:sz w:val="22"/>
          <w:szCs w:val="22"/>
        </w:rPr>
      </w:pPr>
    </w:p>
    <w:p w14:paraId="3EAE5D57" w14:textId="77777777" w:rsidR="00591EA4" w:rsidRPr="00876B4D" w:rsidRDefault="00591EA4" w:rsidP="00F23BAE">
      <w:pPr>
        <w:ind w:left="360"/>
        <w:jc w:val="both"/>
        <w:rPr>
          <w:b/>
          <w:sz w:val="22"/>
          <w:szCs w:val="22"/>
        </w:rPr>
      </w:pPr>
    </w:p>
    <w:p w14:paraId="212BD30D" w14:textId="77777777" w:rsidR="00591EA4" w:rsidRPr="00876B4D" w:rsidRDefault="00591EA4" w:rsidP="00F23BAE">
      <w:pPr>
        <w:ind w:left="360"/>
        <w:jc w:val="both"/>
        <w:rPr>
          <w:b/>
          <w:sz w:val="22"/>
          <w:szCs w:val="22"/>
        </w:rPr>
      </w:pPr>
    </w:p>
    <w:p w14:paraId="731182F8" w14:textId="77777777" w:rsidR="00591EA4" w:rsidRPr="00876B4D" w:rsidRDefault="00591EA4" w:rsidP="00F23BAE">
      <w:pPr>
        <w:ind w:left="360"/>
        <w:jc w:val="both"/>
        <w:rPr>
          <w:b/>
          <w:sz w:val="22"/>
          <w:szCs w:val="22"/>
        </w:rPr>
      </w:pPr>
    </w:p>
    <w:p w14:paraId="2DF6BB05" w14:textId="77777777" w:rsidR="00591EA4" w:rsidRPr="00876B4D" w:rsidRDefault="00591EA4" w:rsidP="00F23BAE">
      <w:pPr>
        <w:ind w:left="360"/>
        <w:jc w:val="both"/>
        <w:rPr>
          <w:b/>
          <w:sz w:val="22"/>
          <w:szCs w:val="22"/>
        </w:rPr>
      </w:pPr>
    </w:p>
    <w:p w14:paraId="343EC41E" w14:textId="77777777" w:rsidR="00591EA4" w:rsidRPr="00876B4D" w:rsidRDefault="00591EA4" w:rsidP="00F23BAE">
      <w:pPr>
        <w:ind w:left="360"/>
        <w:jc w:val="both"/>
        <w:rPr>
          <w:b/>
          <w:sz w:val="22"/>
          <w:szCs w:val="22"/>
        </w:rPr>
      </w:pPr>
    </w:p>
    <w:p w14:paraId="19881719" w14:textId="77777777" w:rsidR="00591EA4" w:rsidRPr="00876B4D" w:rsidRDefault="00591EA4" w:rsidP="00F23BAE">
      <w:pPr>
        <w:ind w:left="360"/>
        <w:jc w:val="both"/>
        <w:rPr>
          <w:b/>
          <w:sz w:val="22"/>
          <w:szCs w:val="22"/>
        </w:rPr>
      </w:pPr>
    </w:p>
    <w:p w14:paraId="0E417F9C" w14:textId="77777777" w:rsidR="00591EA4" w:rsidRPr="00876B4D" w:rsidRDefault="00591EA4" w:rsidP="00F23BAE">
      <w:pPr>
        <w:ind w:left="360"/>
        <w:jc w:val="both"/>
        <w:rPr>
          <w:b/>
          <w:sz w:val="22"/>
          <w:szCs w:val="22"/>
        </w:rPr>
      </w:pPr>
    </w:p>
    <w:p w14:paraId="1E1F0C72" w14:textId="77777777" w:rsidR="00591EA4" w:rsidRPr="00876B4D" w:rsidRDefault="00591EA4" w:rsidP="00F23BAE">
      <w:pPr>
        <w:ind w:left="360"/>
        <w:jc w:val="both"/>
        <w:rPr>
          <w:b/>
          <w:sz w:val="22"/>
          <w:szCs w:val="22"/>
        </w:rPr>
      </w:pPr>
    </w:p>
    <w:p w14:paraId="6A514072" w14:textId="77777777" w:rsidR="00591EA4" w:rsidRPr="00876B4D" w:rsidRDefault="00591EA4" w:rsidP="00F23BAE">
      <w:pPr>
        <w:ind w:left="360"/>
        <w:jc w:val="both"/>
        <w:rPr>
          <w:b/>
          <w:sz w:val="22"/>
          <w:szCs w:val="22"/>
        </w:rPr>
      </w:pPr>
    </w:p>
    <w:p w14:paraId="1E44ADBA" w14:textId="77777777" w:rsidR="00591EA4" w:rsidRPr="00876B4D" w:rsidRDefault="00591EA4" w:rsidP="00F23BAE">
      <w:pPr>
        <w:ind w:left="360"/>
        <w:jc w:val="both"/>
        <w:rPr>
          <w:b/>
          <w:sz w:val="22"/>
          <w:szCs w:val="22"/>
        </w:rPr>
      </w:pPr>
    </w:p>
    <w:p w14:paraId="08BBC01D" w14:textId="77777777" w:rsidR="00591EA4" w:rsidRPr="00876B4D" w:rsidRDefault="00591EA4" w:rsidP="00F23BAE">
      <w:pPr>
        <w:ind w:left="360"/>
        <w:jc w:val="both"/>
        <w:rPr>
          <w:b/>
          <w:sz w:val="22"/>
          <w:szCs w:val="22"/>
        </w:rPr>
      </w:pPr>
    </w:p>
    <w:p w14:paraId="3066FE4E" w14:textId="77777777" w:rsidR="00591EA4" w:rsidRPr="00876B4D" w:rsidRDefault="00591EA4" w:rsidP="00F23BAE">
      <w:pPr>
        <w:ind w:left="360"/>
        <w:jc w:val="both"/>
        <w:rPr>
          <w:b/>
          <w:sz w:val="22"/>
          <w:szCs w:val="22"/>
        </w:rPr>
      </w:pPr>
    </w:p>
    <w:p w14:paraId="238F8383" w14:textId="77777777" w:rsidR="00591EA4" w:rsidRPr="00876B4D" w:rsidRDefault="00591EA4" w:rsidP="00F23BAE">
      <w:pPr>
        <w:ind w:left="360"/>
        <w:jc w:val="both"/>
        <w:rPr>
          <w:b/>
          <w:sz w:val="22"/>
          <w:szCs w:val="22"/>
        </w:rPr>
      </w:pPr>
    </w:p>
    <w:p w14:paraId="63EFDEE0" w14:textId="77777777" w:rsidR="00591EA4" w:rsidRPr="00876B4D" w:rsidRDefault="00591EA4" w:rsidP="00F23BAE">
      <w:pPr>
        <w:ind w:left="360"/>
        <w:jc w:val="both"/>
        <w:rPr>
          <w:b/>
          <w:sz w:val="22"/>
          <w:szCs w:val="22"/>
        </w:rPr>
      </w:pPr>
    </w:p>
    <w:p w14:paraId="0F14FC66" w14:textId="77777777" w:rsidR="00591EA4" w:rsidRPr="00876B4D" w:rsidRDefault="00591EA4" w:rsidP="00F23BAE">
      <w:pPr>
        <w:ind w:left="360"/>
        <w:jc w:val="both"/>
        <w:rPr>
          <w:b/>
          <w:sz w:val="22"/>
          <w:szCs w:val="22"/>
        </w:rPr>
      </w:pPr>
    </w:p>
    <w:p w14:paraId="73EC2A14" w14:textId="77777777" w:rsidR="00591EA4" w:rsidRPr="00876B4D" w:rsidRDefault="00591EA4" w:rsidP="00F23BAE">
      <w:pPr>
        <w:ind w:left="360"/>
        <w:jc w:val="both"/>
        <w:rPr>
          <w:b/>
          <w:sz w:val="22"/>
          <w:szCs w:val="22"/>
        </w:rPr>
      </w:pPr>
    </w:p>
    <w:p w14:paraId="020CCED1" w14:textId="77777777" w:rsidR="00591EA4" w:rsidRPr="00876B4D" w:rsidRDefault="00591EA4" w:rsidP="00F23BAE">
      <w:pPr>
        <w:ind w:left="360"/>
        <w:jc w:val="both"/>
        <w:rPr>
          <w:b/>
          <w:sz w:val="22"/>
          <w:szCs w:val="22"/>
        </w:rPr>
      </w:pPr>
    </w:p>
    <w:p w14:paraId="41E553A8" w14:textId="77777777" w:rsidR="00591EA4" w:rsidRPr="00876B4D" w:rsidRDefault="00591EA4" w:rsidP="00F23BAE">
      <w:pPr>
        <w:ind w:left="360"/>
        <w:jc w:val="both"/>
        <w:rPr>
          <w:b/>
          <w:sz w:val="22"/>
          <w:szCs w:val="22"/>
        </w:rPr>
      </w:pPr>
    </w:p>
    <w:p w14:paraId="15F54D27" w14:textId="77777777" w:rsidR="00591EA4" w:rsidRPr="00876B4D" w:rsidRDefault="00591EA4" w:rsidP="00F23BAE">
      <w:pPr>
        <w:ind w:left="360"/>
        <w:jc w:val="both"/>
        <w:rPr>
          <w:b/>
          <w:sz w:val="22"/>
          <w:szCs w:val="22"/>
        </w:rPr>
      </w:pPr>
    </w:p>
    <w:p w14:paraId="7B610656" w14:textId="77777777" w:rsidR="00591EA4" w:rsidRPr="00876B4D" w:rsidRDefault="00591EA4" w:rsidP="00F23BAE">
      <w:pPr>
        <w:ind w:left="360"/>
        <w:jc w:val="both"/>
        <w:rPr>
          <w:b/>
          <w:sz w:val="22"/>
          <w:szCs w:val="22"/>
        </w:rPr>
      </w:pPr>
    </w:p>
    <w:p w14:paraId="275424E5" w14:textId="1D0D8FBF" w:rsidR="000603F2" w:rsidRPr="00876B4D" w:rsidRDefault="000603F2" w:rsidP="00F23BAE">
      <w:pPr>
        <w:ind w:left="360"/>
        <w:jc w:val="both"/>
        <w:rPr>
          <w:b/>
          <w:sz w:val="22"/>
          <w:szCs w:val="22"/>
        </w:rPr>
      </w:pPr>
    </w:p>
    <w:p w14:paraId="2C505899" w14:textId="2163A0A1" w:rsidR="00C0581F" w:rsidRPr="00876B4D" w:rsidRDefault="00C0581F" w:rsidP="00F23BAE">
      <w:pPr>
        <w:ind w:left="360"/>
        <w:jc w:val="both"/>
        <w:rPr>
          <w:b/>
          <w:sz w:val="22"/>
          <w:szCs w:val="22"/>
        </w:rPr>
      </w:pPr>
    </w:p>
    <w:p w14:paraId="0615F910" w14:textId="1400939C" w:rsidR="00C0581F" w:rsidRPr="00876B4D" w:rsidRDefault="00C0581F" w:rsidP="00F23BAE">
      <w:pPr>
        <w:ind w:left="360"/>
        <w:jc w:val="both"/>
        <w:rPr>
          <w:b/>
          <w:sz w:val="22"/>
          <w:szCs w:val="22"/>
        </w:rPr>
      </w:pPr>
    </w:p>
    <w:p w14:paraId="752B955F" w14:textId="77777777" w:rsidR="00C0581F" w:rsidRPr="00876B4D" w:rsidRDefault="00C0581F" w:rsidP="00F23BAE">
      <w:pPr>
        <w:ind w:left="360"/>
        <w:jc w:val="both"/>
        <w:rPr>
          <w:b/>
          <w:sz w:val="22"/>
          <w:szCs w:val="22"/>
        </w:rPr>
      </w:pPr>
    </w:p>
    <w:p w14:paraId="54E9A217" w14:textId="21FC2692" w:rsidR="000603F2" w:rsidRPr="00876B4D" w:rsidRDefault="000603F2" w:rsidP="00F23BAE">
      <w:pPr>
        <w:ind w:left="360"/>
        <w:jc w:val="both"/>
        <w:rPr>
          <w:b/>
          <w:sz w:val="22"/>
          <w:szCs w:val="22"/>
        </w:rPr>
      </w:pPr>
    </w:p>
    <w:p w14:paraId="43663018" w14:textId="77777777" w:rsidR="00591EA4" w:rsidRPr="00876B4D" w:rsidRDefault="00591EA4" w:rsidP="00591EA4">
      <w:pPr>
        <w:ind w:left="8280" w:firstLine="360"/>
        <w:jc w:val="both"/>
        <w:rPr>
          <w:b/>
          <w:sz w:val="22"/>
          <w:szCs w:val="22"/>
        </w:rPr>
      </w:pPr>
    </w:p>
    <w:p w14:paraId="0FD860EC" w14:textId="77777777" w:rsidR="00591EA4" w:rsidRPr="00876B4D" w:rsidRDefault="00591EA4" w:rsidP="00591EA4">
      <w:pPr>
        <w:ind w:left="8280" w:firstLine="360"/>
        <w:jc w:val="both"/>
        <w:rPr>
          <w:b/>
          <w:sz w:val="22"/>
          <w:szCs w:val="22"/>
        </w:rPr>
      </w:pPr>
    </w:p>
    <w:p w14:paraId="7EC43E24" w14:textId="77777777" w:rsidR="0035620D" w:rsidRDefault="0035620D">
      <w:pPr>
        <w:rPr>
          <w:b/>
          <w:sz w:val="22"/>
          <w:szCs w:val="22"/>
        </w:rPr>
      </w:pPr>
      <w:r>
        <w:rPr>
          <w:b/>
          <w:sz w:val="22"/>
          <w:szCs w:val="22"/>
        </w:rPr>
        <w:br w:type="page"/>
      </w:r>
    </w:p>
    <w:p w14:paraId="5CAA7DCA" w14:textId="4941DCE6" w:rsidR="000603F2" w:rsidRPr="00876B4D" w:rsidRDefault="000603F2" w:rsidP="00591EA4">
      <w:pPr>
        <w:ind w:left="8280" w:firstLine="360"/>
        <w:jc w:val="both"/>
        <w:rPr>
          <w:b/>
          <w:sz w:val="22"/>
          <w:szCs w:val="22"/>
        </w:rPr>
      </w:pPr>
      <w:r w:rsidRPr="00876B4D">
        <w:rPr>
          <w:b/>
          <w:sz w:val="22"/>
          <w:szCs w:val="22"/>
        </w:rPr>
        <w:lastRenderedPageBreak/>
        <w:t>Appendix</w:t>
      </w:r>
    </w:p>
    <w:p w14:paraId="457E6D5C" w14:textId="1E36372B" w:rsidR="000603F2" w:rsidRPr="00876B4D" w:rsidRDefault="000603F2" w:rsidP="00F23BAE">
      <w:pPr>
        <w:ind w:left="360"/>
        <w:jc w:val="both"/>
        <w:rPr>
          <w:b/>
          <w:sz w:val="22"/>
          <w:szCs w:val="22"/>
        </w:rPr>
      </w:pPr>
    </w:p>
    <w:p w14:paraId="20EF30CF" w14:textId="448273EF" w:rsidR="000603F2" w:rsidRPr="00876B4D" w:rsidRDefault="00C0581F" w:rsidP="00F23BAE">
      <w:pPr>
        <w:ind w:left="360"/>
        <w:jc w:val="both"/>
        <w:rPr>
          <w:b/>
          <w:sz w:val="22"/>
          <w:szCs w:val="22"/>
        </w:rPr>
      </w:pPr>
      <w:r w:rsidRPr="00876B4D">
        <w:rPr>
          <w:b/>
          <w:sz w:val="22"/>
          <w:szCs w:val="22"/>
        </w:rPr>
        <w:t xml:space="preserve">EXAMPLES of </w:t>
      </w:r>
      <w:r w:rsidR="000603F2" w:rsidRPr="00876B4D">
        <w:rPr>
          <w:b/>
          <w:sz w:val="22"/>
          <w:szCs w:val="22"/>
        </w:rPr>
        <w:t>INCENTIVE METRICS</w:t>
      </w:r>
    </w:p>
    <w:p w14:paraId="3DA47AE1" w14:textId="77777777" w:rsidR="00C0581F" w:rsidRPr="00876B4D" w:rsidRDefault="00C0581F" w:rsidP="00F23BAE">
      <w:pPr>
        <w:ind w:left="360"/>
        <w:jc w:val="both"/>
        <w:rPr>
          <w:b/>
          <w:sz w:val="22"/>
          <w:szCs w:val="22"/>
        </w:rPr>
      </w:pPr>
    </w:p>
    <w:p w14:paraId="21F66C7F" w14:textId="2FFECA7A" w:rsidR="00F23BAE" w:rsidRPr="00876B4D" w:rsidRDefault="00F23BAE" w:rsidP="00F23BAE">
      <w:pPr>
        <w:ind w:left="360"/>
        <w:jc w:val="both"/>
        <w:rPr>
          <w:b/>
          <w:sz w:val="22"/>
          <w:szCs w:val="22"/>
        </w:rPr>
      </w:pPr>
      <w:r w:rsidRPr="00876B4D">
        <w:rPr>
          <w:b/>
          <w:sz w:val="22"/>
          <w:szCs w:val="22"/>
        </w:rPr>
        <w:t>Individual Metrics</w:t>
      </w:r>
    </w:p>
    <w:p w14:paraId="05AD0CD2" w14:textId="77777777" w:rsidR="00F23BAE" w:rsidRPr="00876B4D" w:rsidRDefault="00F23BAE" w:rsidP="00F23BAE">
      <w:pPr>
        <w:numPr>
          <w:ilvl w:val="0"/>
          <w:numId w:val="7"/>
        </w:numPr>
        <w:jc w:val="both"/>
        <w:rPr>
          <w:sz w:val="22"/>
          <w:szCs w:val="22"/>
        </w:rPr>
      </w:pPr>
      <w:r w:rsidRPr="00876B4D">
        <w:rPr>
          <w:b/>
          <w:sz w:val="22"/>
          <w:szCs w:val="22"/>
        </w:rPr>
        <w:t>Clinical Productivity</w:t>
      </w:r>
      <w:r w:rsidRPr="00876B4D">
        <w:rPr>
          <w:sz w:val="22"/>
          <w:szCs w:val="22"/>
        </w:rPr>
        <w:t xml:space="preserve"> may be measured by one or more of the following metrics:  </w:t>
      </w:r>
    </w:p>
    <w:p w14:paraId="5AD18F1B" w14:textId="77777777" w:rsidR="00F23BAE" w:rsidRPr="00876B4D" w:rsidRDefault="00F23BAE" w:rsidP="00F23BAE">
      <w:pPr>
        <w:numPr>
          <w:ilvl w:val="1"/>
          <w:numId w:val="6"/>
        </w:numPr>
        <w:jc w:val="both"/>
        <w:rPr>
          <w:sz w:val="22"/>
          <w:szCs w:val="22"/>
        </w:rPr>
      </w:pPr>
      <w:r w:rsidRPr="00876B4D">
        <w:rPr>
          <w:sz w:val="22"/>
          <w:szCs w:val="22"/>
        </w:rPr>
        <w:t>WRVU performance may be used to measure clinical productivity.  For example, threshold will be measured to the 65</w:t>
      </w:r>
      <w:r w:rsidRPr="00876B4D">
        <w:rPr>
          <w:sz w:val="22"/>
          <w:szCs w:val="22"/>
          <w:vertAlign w:val="superscript"/>
        </w:rPr>
        <w:t>th</w:t>
      </w:r>
      <w:r w:rsidRPr="00876B4D">
        <w:rPr>
          <w:sz w:val="22"/>
          <w:szCs w:val="22"/>
        </w:rPr>
        <w:t xml:space="preserve"> %tile, target to the 75</w:t>
      </w:r>
      <w:r w:rsidRPr="00876B4D">
        <w:rPr>
          <w:sz w:val="22"/>
          <w:szCs w:val="22"/>
          <w:vertAlign w:val="superscript"/>
        </w:rPr>
        <w:t>th</w:t>
      </w:r>
      <w:r w:rsidRPr="00876B4D">
        <w:rPr>
          <w:sz w:val="22"/>
          <w:szCs w:val="22"/>
        </w:rPr>
        <w:t xml:space="preserve"> %tile and high performance to the 90</w:t>
      </w:r>
      <w:r w:rsidRPr="00876B4D">
        <w:rPr>
          <w:sz w:val="22"/>
          <w:szCs w:val="22"/>
          <w:vertAlign w:val="superscript"/>
        </w:rPr>
        <w:t>th</w:t>
      </w:r>
      <w:r w:rsidRPr="00876B4D">
        <w:rPr>
          <w:sz w:val="22"/>
          <w:szCs w:val="22"/>
        </w:rPr>
        <w:t xml:space="preserve"> %tile of the Vizient benchmark. Adjustments may be made for faculty within first three years of practice (i.e. 50</w:t>
      </w:r>
      <w:r w:rsidRPr="00876B4D">
        <w:rPr>
          <w:sz w:val="22"/>
          <w:szCs w:val="22"/>
          <w:vertAlign w:val="superscript"/>
        </w:rPr>
        <w:t>th</w:t>
      </w:r>
      <w:r w:rsidRPr="00876B4D">
        <w:rPr>
          <w:sz w:val="22"/>
          <w:szCs w:val="22"/>
        </w:rPr>
        <w:t xml:space="preserve"> %</w:t>
      </w:r>
      <w:proofErr w:type="spellStart"/>
      <w:r w:rsidRPr="00876B4D">
        <w:rPr>
          <w:sz w:val="22"/>
          <w:szCs w:val="22"/>
        </w:rPr>
        <w:t>ile</w:t>
      </w:r>
      <w:proofErr w:type="spellEnd"/>
      <w:r w:rsidRPr="00876B4D">
        <w:rPr>
          <w:sz w:val="22"/>
          <w:szCs w:val="22"/>
        </w:rPr>
        <w:t xml:space="preserve"> in year 1, </w:t>
      </w:r>
      <w:proofErr w:type="gramStart"/>
      <w:r w:rsidRPr="00876B4D">
        <w:rPr>
          <w:sz w:val="22"/>
          <w:szCs w:val="22"/>
        </w:rPr>
        <w:t>60</w:t>
      </w:r>
      <w:r w:rsidRPr="00876B4D">
        <w:rPr>
          <w:sz w:val="22"/>
          <w:szCs w:val="22"/>
          <w:vertAlign w:val="superscript"/>
        </w:rPr>
        <w:t>th</w:t>
      </w:r>
      <w:r w:rsidRPr="00876B4D">
        <w:rPr>
          <w:sz w:val="22"/>
          <w:szCs w:val="22"/>
        </w:rPr>
        <w:t>%</w:t>
      </w:r>
      <w:proofErr w:type="gramEnd"/>
      <w:r w:rsidRPr="00876B4D">
        <w:rPr>
          <w:sz w:val="22"/>
          <w:szCs w:val="22"/>
        </w:rPr>
        <w:t xml:space="preserve">ile in year 2, </w:t>
      </w:r>
      <w:proofErr w:type="gramStart"/>
      <w:r w:rsidRPr="00876B4D">
        <w:rPr>
          <w:sz w:val="22"/>
          <w:szCs w:val="22"/>
        </w:rPr>
        <w:t>65</w:t>
      </w:r>
      <w:r w:rsidRPr="00876B4D">
        <w:rPr>
          <w:sz w:val="22"/>
          <w:szCs w:val="22"/>
          <w:vertAlign w:val="superscript"/>
        </w:rPr>
        <w:t>th</w:t>
      </w:r>
      <w:r w:rsidRPr="00876B4D">
        <w:rPr>
          <w:sz w:val="22"/>
          <w:szCs w:val="22"/>
        </w:rPr>
        <w:t>%</w:t>
      </w:r>
      <w:proofErr w:type="gramEnd"/>
      <w:r w:rsidRPr="00876B4D">
        <w:rPr>
          <w:sz w:val="22"/>
          <w:szCs w:val="22"/>
        </w:rPr>
        <w:t>ile in year 3).</w:t>
      </w:r>
    </w:p>
    <w:p w14:paraId="346BEF34" w14:textId="77777777" w:rsidR="00F23BAE" w:rsidRPr="00876B4D" w:rsidRDefault="00F23BAE" w:rsidP="00F23BAE">
      <w:pPr>
        <w:numPr>
          <w:ilvl w:val="1"/>
          <w:numId w:val="6"/>
        </w:numPr>
        <w:jc w:val="both"/>
        <w:rPr>
          <w:sz w:val="22"/>
          <w:szCs w:val="22"/>
        </w:rPr>
      </w:pPr>
      <w:r w:rsidRPr="00876B4D">
        <w:rPr>
          <w:sz w:val="22"/>
          <w:szCs w:val="22"/>
        </w:rPr>
        <w:t xml:space="preserve">Net patient revenue may be used and is determined for each faculty member considering </w:t>
      </w:r>
      <w:proofErr w:type="gramStart"/>
      <w:r w:rsidRPr="00876B4D">
        <w:rPr>
          <w:sz w:val="22"/>
          <w:szCs w:val="22"/>
        </w:rPr>
        <w:t>a number of</w:t>
      </w:r>
      <w:proofErr w:type="gramEnd"/>
      <w:r w:rsidRPr="00876B4D">
        <w:rPr>
          <w:sz w:val="22"/>
          <w:szCs w:val="22"/>
        </w:rPr>
        <w:t xml:space="preserve"> factors, which may include member’s historic (year over year or rolling three-year average) financial performance, payer rate changes, clinical effort allocation and the division/department budget.</w:t>
      </w:r>
    </w:p>
    <w:p w14:paraId="2BC4630D" w14:textId="77777777" w:rsidR="00F23BAE" w:rsidRPr="00876B4D" w:rsidRDefault="00F23BAE" w:rsidP="00F23BAE">
      <w:pPr>
        <w:numPr>
          <w:ilvl w:val="1"/>
          <w:numId w:val="6"/>
        </w:numPr>
        <w:jc w:val="both"/>
        <w:rPr>
          <w:sz w:val="22"/>
          <w:szCs w:val="22"/>
        </w:rPr>
      </w:pPr>
      <w:r w:rsidRPr="00876B4D">
        <w:rPr>
          <w:sz w:val="22"/>
          <w:szCs w:val="22"/>
        </w:rPr>
        <w:t>In cases where it may be appropriate, a member’s net operating margin may be substituted for revenue as the individual metric target.</w:t>
      </w:r>
    </w:p>
    <w:p w14:paraId="2818B64D" w14:textId="77777777" w:rsidR="00F23BAE" w:rsidRPr="00876B4D" w:rsidRDefault="00F23BAE" w:rsidP="00F23BAE">
      <w:pPr>
        <w:numPr>
          <w:ilvl w:val="1"/>
          <w:numId w:val="6"/>
        </w:numPr>
        <w:jc w:val="both"/>
        <w:rPr>
          <w:sz w:val="22"/>
          <w:szCs w:val="22"/>
        </w:rPr>
      </w:pPr>
      <w:r w:rsidRPr="00876B4D">
        <w:rPr>
          <w:sz w:val="22"/>
          <w:szCs w:val="22"/>
        </w:rPr>
        <w:t xml:space="preserve">Individual visits (i.e. total, new patients, etc.).  </w:t>
      </w:r>
    </w:p>
    <w:p w14:paraId="571673E0" w14:textId="77777777" w:rsidR="00F23BAE" w:rsidRPr="00876B4D" w:rsidRDefault="00F23BAE" w:rsidP="00F23BAE">
      <w:pPr>
        <w:numPr>
          <w:ilvl w:val="1"/>
          <w:numId w:val="6"/>
        </w:numPr>
        <w:jc w:val="both"/>
        <w:rPr>
          <w:sz w:val="22"/>
          <w:szCs w:val="22"/>
        </w:rPr>
      </w:pPr>
      <w:r w:rsidRPr="00876B4D">
        <w:rPr>
          <w:sz w:val="22"/>
          <w:szCs w:val="22"/>
        </w:rPr>
        <w:t>Individual case counts</w:t>
      </w:r>
    </w:p>
    <w:p w14:paraId="1368324B" w14:textId="77777777" w:rsidR="00F23BAE" w:rsidRPr="00876B4D" w:rsidRDefault="00F23BAE" w:rsidP="00F23BAE">
      <w:pPr>
        <w:numPr>
          <w:ilvl w:val="1"/>
          <w:numId w:val="6"/>
        </w:numPr>
        <w:jc w:val="both"/>
        <w:rPr>
          <w:sz w:val="22"/>
          <w:szCs w:val="22"/>
        </w:rPr>
      </w:pPr>
      <w:r w:rsidRPr="00876B4D">
        <w:rPr>
          <w:sz w:val="22"/>
          <w:szCs w:val="22"/>
        </w:rPr>
        <w:t xml:space="preserve">Individual metric calculations with a cash basis will be net of patient/payor refunds. </w:t>
      </w:r>
    </w:p>
    <w:p w14:paraId="1F5E1986" w14:textId="77777777" w:rsidR="00F23BAE" w:rsidRPr="00876B4D" w:rsidRDefault="00F23BAE" w:rsidP="00F23BAE">
      <w:pPr>
        <w:numPr>
          <w:ilvl w:val="1"/>
          <w:numId w:val="6"/>
        </w:numPr>
        <w:jc w:val="both"/>
        <w:rPr>
          <w:sz w:val="22"/>
          <w:szCs w:val="22"/>
        </w:rPr>
      </w:pPr>
      <w:r w:rsidRPr="00876B4D">
        <w:rPr>
          <w:sz w:val="22"/>
          <w:szCs w:val="22"/>
        </w:rPr>
        <w:t>Access metrics (i.e. total # NPV, % NPV seen within 10 days)</w:t>
      </w:r>
    </w:p>
    <w:p w14:paraId="7805FEF2" w14:textId="77777777" w:rsidR="00F23BAE" w:rsidRPr="00876B4D" w:rsidRDefault="00F23BAE" w:rsidP="00F23BAE">
      <w:pPr>
        <w:jc w:val="both"/>
        <w:rPr>
          <w:sz w:val="22"/>
          <w:szCs w:val="22"/>
        </w:rPr>
      </w:pPr>
    </w:p>
    <w:p w14:paraId="19127EE1" w14:textId="77777777" w:rsidR="00F23BAE" w:rsidRPr="00876B4D" w:rsidRDefault="00F23BAE" w:rsidP="00F23BAE">
      <w:pPr>
        <w:ind w:left="360"/>
        <w:jc w:val="both"/>
        <w:rPr>
          <w:b/>
          <w:sz w:val="22"/>
          <w:szCs w:val="22"/>
        </w:rPr>
      </w:pPr>
      <w:proofErr w:type="gramStart"/>
      <w:r w:rsidRPr="00876B4D">
        <w:rPr>
          <w:b/>
          <w:sz w:val="22"/>
          <w:szCs w:val="22"/>
        </w:rPr>
        <w:t>Group Metrics</w:t>
      </w:r>
      <w:proofErr w:type="gramEnd"/>
      <w:r w:rsidRPr="00876B4D">
        <w:rPr>
          <w:b/>
          <w:sz w:val="22"/>
          <w:szCs w:val="22"/>
        </w:rPr>
        <w:t>:</w:t>
      </w:r>
    </w:p>
    <w:p w14:paraId="759A460B" w14:textId="77777777" w:rsidR="00F23BAE" w:rsidRPr="00876B4D" w:rsidRDefault="00F23BAE" w:rsidP="00F23BAE">
      <w:pPr>
        <w:numPr>
          <w:ilvl w:val="2"/>
          <w:numId w:val="1"/>
        </w:numPr>
        <w:jc w:val="both"/>
        <w:rPr>
          <w:sz w:val="22"/>
          <w:szCs w:val="22"/>
        </w:rPr>
      </w:pPr>
      <w:r w:rsidRPr="00876B4D">
        <w:rPr>
          <w:sz w:val="22"/>
          <w:szCs w:val="22"/>
        </w:rPr>
        <w:t xml:space="preserve">Determination of group metric targets will be made by considering </w:t>
      </w:r>
      <w:proofErr w:type="gramStart"/>
      <w:r w:rsidRPr="00876B4D">
        <w:rPr>
          <w:sz w:val="22"/>
          <w:szCs w:val="22"/>
        </w:rPr>
        <w:t>a number of</w:t>
      </w:r>
      <w:proofErr w:type="gramEnd"/>
      <w:r w:rsidRPr="00876B4D">
        <w:rPr>
          <w:sz w:val="22"/>
          <w:szCs w:val="22"/>
        </w:rPr>
        <w:t xml:space="preserve"> factors, which might include, but are not limited to, historical (year over year) performance, comparison to internal and/or external benchmarks, and division/department budget.</w:t>
      </w:r>
    </w:p>
    <w:p w14:paraId="3A7DF8B3" w14:textId="77777777" w:rsidR="00F23BAE" w:rsidRPr="00876B4D" w:rsidRDefault="00F23BAE" w:rsidP="00F23BAE">
      <w:pPr>
        <w:numPr>
          <w:ilvl w:val="2"/>
          <w:numId w:val="1"/>
        </w:numPr>
        <w:jc w:val="both"/>
        <w:rPr>
          <w:sz w:val="22"/>
          <w:szCs w:val="22"/>
        </w:rPr>
      </w:pPr>
      <w:r w:rsidRPr="00876B4D">
        <w:rPr>
          <w:sz w:val="22"/>
          <w:szCs w:val="22"/>
        </w:rPr>
        <w:t xml:space="preserve">Group metric targets may also include key initiatives in the department or division that support highly efficient care and quality of care, such as access, quality and outcomes, patient satisfaction, etc.  These metrics should be aligned with Penn Medicine and Department goals and determined annually by the Chair and Division Chief or Program Director. </w:t>
      </w:r>
    </w:p>
    <w:p w14:paraId="0DBAC9AA" w14:textId="77777777" w:rsidR="00F23BAE" w:rsidRPr="00876B4D" w:rsidRDefault="00F23BAE" w:rsidP="00F23BAE">
      <w:pPr>
        <w:numPr>
          <w:ilvl w:val="2"/>
          <w:numId w:val="1"/>
        </w:numPr>
        <w:jc w:val="both"/>
        <w:rPr>
          <w:sz w:val="22"/>
          <w:szCs w:val="22"/>
        </w:rPr>
      </w:pPr>
      <w:r w:rsidRPr="00876B4D">
        <w:rPr>
          <w:sz w:val="22"/>
          <w:szCs w:val="22"/>
        </w:rPr>
        <w:t xml:space="preserve">Examples of group metrics: </w:t>
      </w:r>
    </w:p>
    <w:p w14:paraId="51D7420B" w14:textId="77777777" w:rsidR="00F23BAE" w:rsidRPr="00876B4D" w:rsidRDefault="00F23BAE" w:rsidP="00F23BAE">
      <w:pPr>
        <w:numPr>
          <w:ilvl w:val="0"/>
          <w:numId w:val="14"/>
        </w:numPr>
        <w:jc w:val="both"/>
        <w:rPr>
          <w:sz w:val="22"/>
          <w:szCs w:val="22"/>
        </w:rPr>
      </w:pPr>
      <w:r w:rsidRPr="00876B4D">
        <w:rPr>
          <w:sz w:val="22"/>
          <w:szCs w:val="22"/>
        </w:rPr>
        <w:t># of visits (overall volume)</w:t>
      </w:r>
    </w:p>
    <w:p w14:paraId="4A0D7E2E" w14:textId="77777777" w:rsidR="00F23BAE" w:rsidRPr="00876B4D" w:rsidRDefault="00F23BAE" w:rsidP="00F23BAE">
      <w:pPr>
        <w:numPr>
          <w:ilvl w:val="0"/>
          <w:numId w:val="14"/>
        </w:numPr>
        <w:jc w:val="both"/>
        <w:rPr>
          <w:sz w:val="22"/>
          <w:szCs w:val="22"/>
        </w:rPr>
      </w:pPr>
      <w:r w:rsidRPr="00876B4D">
        <w:rPr>
          <w:sz w:val="22"/>
          <w:szCs w:val="22"/>
        </w:rPr>
        <w:t># of new patient visits</w:t>
      </w:r>
    </w:p>
    <w:p w14:paraId="02AE90EB" w14:textId="77777777" w:rsidR="00F23BAE" w:rsidRPr="00876B4D" w:rsidRDefault="00F23BAE" w:rsidP="00F23BAE">
      <w:pPr>
        <w:numPr>
          <w:ilvl w:val="0"/>
          <w:numId w:val="14"/>
        </w:numPr>
        <w:jc w:val="both"/>
        <w:rPr>
          <w:sz w:val="22"/>
          <w:szCs w:val="22"/>
        </w:rPr>
      </w:pPr>
      <w:r w:rsidRPr="00876B4D">
        <w:rPr>
          <w:sz w:val="22"/>
          <w:szCs w:val="22"/>
        </w:rPr>
        <w:t>Access metrics (i.e. %NPV seen within 10 days)</w:t>
      </w:r>
    </w:p>
    <w:p w14:paraId="7DFA318D" w14:textId="77777777" w:rsidR="00F23BAE" w:rsidRPr="00876B4D" w:rsidRDefault="00F23BAE" w:rsidP="00F23BAE">
      <w:pPr>
        <w:numPr>
          <w:ilvl w:val="0"/>
          <w:numId w:val="14"/>
        </w:numPr>
        <w:jc w:val="both"/>
        <w:rPr>
          <w:sz w:val="22"/>
          <w:szCs w:val="22"/>
        </w:rPr>
      </w:pPr>
      <w:r w:rsidRPr="00876B4D">
        <w:rPr>
          <w:sz w:val="22"/>
          <w:szCs w:val="22"/>
        </w:rPr>
        <w:t>Group quality or outcome measures including value-based metrics</w:t>
      </w:r>
    </w:p>
    <w:p w14:paraId="024BF88C" w14:textId="77777777" w:rsidR="00F23BAE" w:rsidRPr="00876B4D" w:rsidRDefault="00F23BAE" w:rsidP="00F23BAE">
      <w:pPr>
        <w:numPr>
          <w:ilvl w:val="0"/>
          <w:numId w:val="14"/>
        </w:numPr>
        <w:jc w:val="both"/>
        <w:rPr>
          <w:sz w:val="22"/>
          <w:szCs w:val="22"/>
        </w:rPr>
      </w:pPr>
      <w:r w:rsidRPr="00876B4D">
        <w:rPr>
          <w:sz w:val="22"/>
          <w:szCs w:val="22"/>
        </w:rPr>
        <w:t>Patient satisfaction goals (i.e. likelihood to recommend)</w:t>
      </w:r>
    </w:p>
    <w:p w14:paraId="378AC2E4" w14:textId="77777777" w:rsidR="00F23BAE" w:rsidRPr="00876B4D" w:rsidRDefault="00F23BAE" w:rsidP="00F23BAE">
      <w:pPr>
        <w:numPr>
          <w:ilvl w:val="0"/>
          <w:numId w:val="14"/>
        </w:numPr>
        <w:jc w:val="both"/>
        <w:rPr>
          <w:sz w:val="22"/>
          <w:szCs w:val="22"/>
        </w:rPr>
      </w:pPr>
      <w:r w:rsidRPr="00876B4D">
        <w:rPr>
          <w:sz w:val="22"/>
          <w:szCs w:val="22"/>
        </w:rPr>
        <w:t>Net operating margin</w:t>
      </w:r>
    </w:p>
    <w:p w14:paraId="616368DD" w14:textId="77777777" w:rsidR="00F23BAE" w:rsidRPr="00876B4D" w:rsidRDefault="00F23BAE" w:rsidP="00F23BAE">
      <w:pPr>
        <w:numPr>
          <w:ilvl w:val="0"/>
          <w:numId w:val="14"/>
        </w:numPr>
        <w:jc w:val="both"/>
        <w:rPr>
          <w:sz w:val="22"/>
          <w:szCs w:val="22"/>
        </w:rPr>
      </w:pPr>
      <w:r w:rsidRPr="00876B4D">
        <w:rPr>
          <w:sz w:val="22"/>
          <w:szCs w:val="22"/>
        </w:rPr>
        <w:t>Research goal (i.e. accrual to clinical trials, unfunded research effort, grant submissions, high impact publications (journals as defined by PSOM))</w:t>
      </w:r>
    </w:p>
    <w:p w14:paraId="3DBAD46E" w14:textId="77777777" w:rsidR="00F23BAE" w:rsidRPr="00876B4D" w:rsidRDefault="00F23BAE" w:rsidP="00F23BAE">
      <w:pPr>
        <w:numPr>
          <w:ilvl w:val="2"/>
          <w:numId w:val="1"/>
        </w:numPr>
        <w:jc w:val="both"/>
        <w:rPr>
          <w:sz w:val="22"/>
          <w:szCs w:val="22"/>
        </w:rPr>
      </w:pPr>
      <w:r w:rsidRPr="00876B4D">
        <w:rPr>
          <w:sz w:val="22"/>
          <w:szCs w:val="22"/>
        </w:rPr>
        <w:t xml:space="preserve">Group metric targets should not be changed in the middle of a fiscal year except under extraordinary circumstances which require review and approval by CPUP Finance Committee. </w:t>
      </w:r>
    </w:p>
    <w:p w14:paraId="43745A40" w14:textId="77777777" w:rsidR="00F23BAE" w:rsidRPr="00876B4D" w:rsidRDefault="00F23BAE" w:rsidP="00F23BAE">
      <w:pPr>
        <w:numPr>
          <w:ilvl w:val="2"/>
          <w:numId w:val="1"/>
        </w:numPr>
        <w:jc w:val="both"/>
        <w:rPr>
          <w:sz w:val="22"/>
          <w:szCs w:val="22"/>
        </w:rPr>
      </w:pPr>
      <w:r w:rsidRPr="00876B4D">
        <w:rPr>
          <w:sz w:val="22"/>
          <w:szCs w:val="22"/>
        </w:rPr>
        <w:t>Volume-based group metrics should include all faculty including new faculty with lower targets to ensure practice alignment.  Targets should take into consideration collaborating relationships with APPs.</w:t>
      </w:r>
    </w:p>
    <w:p w14:paraId="0AC1353B" w14:textId="77777777" w:rsidR="00F23BAE" w:rsidRPr="00876B4D" w:rsidRDefault="00F23BAE" w:rsidP="00F23BAE">
      <w:pPr>
        <w:jc w:val="both"/>
        <w:rPr>
          <w:b/>
          <w:sz w:val="22"/>
          <w:szCs w:val="22"/>
        </w:rPr>
      </w:pPr>
    </w:p>
    <w:p w14:paraId="3123DE32" w14:textId="5BA66E37" w:rsidR="00F23BAE" w:rsidRPr="00876B4D" w:rsidRDefault="00F23BAE" w:rsidP="00F23BAE">
      <w:pPr>
        <w:ind w:left="360"/>
        <w:jc w:val="both"/>
        <w:rPr>
          <w:b/>
          <w:sz w:val="22"/>
          <w:szCs w:val="22"/>
        </w:rPr>
      </w:pPr>
      <w:r w:rsidRPr="00876B4D">
        <w:rPr>
          <w:b/>
          <w:sz w:val="22"/>
          <w:szCs w:val="22"/>
        </w:rPr>
        <w:t>Educational Metric</w:t>
      </w:r>
      <w:r w:rsidR="00C0581F" w:rsidRPr="00876B4D">
        <w:rPr>
          <w:b/>
          <w:sz w:val="22"/>
          <w:szCs w:val="22"/>
        </w:rPr>
        <w:t>s</w:t>
      </w:r>
      <w:r w:rsidRPr="00876B4D">
        <w:rPr>
          <w:b/>
          <w:sz w:val="22"/>
          <w:szCs w:val="22"/>
        </w:rPr>
        <w:t xml:space="preserve">:  </w:t>
      </w:r>
    </w:p>
    <w:p w14:paraId="480FF2C1" w14:textId="77777777" w:rsidR="00F23BAE" w:rsidRPr="00876B4D" w:rsidRDefault="00F23BAE" w:rsidP="00F23BAE">
      <w:pPr>
        <w:numPr>
          <w:ilvl w:val="0"/>
          <w:numId w:val="2"/>
        </w:numPr>
        <w:jc w:val="both"/>
        <w:rPr>
          <w:sz w:val="22"/>
          <w:szCs w:val="22"/>
        </w:rPr>
      </w:pPr>
      <w:r w:rsidRPr="00876B4D">
        <w:rPr>
          <w:sz w:val="22"/>
          <w:szCs w:val="22"/>
        </w:rPr>
        <w:t xml:space="preserve">Faculty members are compensated within their base salary for the teaching of students, residents, and fellows.  </w:t>
      </w:r>
    </w:p>
    <w:p w14:paraId="26E0B576" w14:textId="77777777" w:rsidR="00F23BAE" w:rsidRPr="00876B4D" w:rsidRDefault="00F23BAE" w:rsidP="00F23BAE">
      <w:pPr>
        <w:numPr>
          <w:ilvl w:val="0"/>
          <w:numId w:val="2"/>
        </w:numPr>
        <w:jc w:val="both"/>
        <w:rPr>
          <w:sz w:val="22"/>
          <w:szCs w:val="22"/>
        </w:rPr>
      </w:pPr>
      <w:r w:rsidRPr="00876B4D">
        <w:rPr>
          <w:sz w:val="22"/>
          <w:szCs w:val="22"/>
        </w:rPr>
        <w:t>Some teaching related activities require substantial extra effort (i.e. residency program director, medical student clerkship director, elective directors and fellowship director), and these are compensated incrementally or through a reduction of clinical service requirements, but not both.</w:t>
      </w:r>
    </w:p>
    <w:p w14:paraId="159E3BD9" w14:textId="77777777" w:rsidR="00F23BAE" w:rsidRPr="00876B4D" w:rsidRDefault="00F23BAE" w:rsidP="00F23BAE">
      <w:pPr>
        <w:numPr>
          <w:ilvl w:val="0"/>
          <w:numId w:val="2"/>
        </w:numPr>
        <w:jc w:val="both"/>
        <w:rPr>
          <w:sz w:val="22"/>
          <w:szCs w:val="22"/>
        </w:rPr>
      </w:pPr>
      <w:r w:rsidRPr="00876B4D">
        <w:rPr>
          <w:sz w:val="22"/>
          <w:szCs w:val="22"/>
        </w:rPr>
        <w:t>Leadership goals may reflect overall course evaluation metrics.</w:t>
      </w:r>
    </w:p>
    <w:p w14:paraId="726AAE59" w14:textId="77777777" w:rsidR="00F23BAE" w:rsidRPr="00876B4D" w:rsidRDefault="00F23BAE" w:rsidP="00F23BAE">
      <w:pPr>
        <w:numPr>
          <w:ilvl w:val="0"/>
          <w:numId w:val="2"/>
        </w:numPr>
        <w:jc w:val="both"/>
        <w:rPr>
          <w:sz w:val="22"/>
          <w:szCs w:val="22"/>
        </w:rPr>
      </w:pPr>
      <w:r w:rsidRPr="00876B4D">
        <w:rPr>
          <w:sz w:val="22"/>
          <w:szCs w:val="22"/>
        </w:rPr>
        <w:lastRenderedPageBreak/>
        <w:t>Teaching performance may be measured by aggregate scores or individual faculty student/resident evaluations, available through the SOM or departmental evaluation system, or a composite of teaching activity by an individual faculty member</w:t>
      </w:r>
    </w:p>
    <w:p w14:paraId="01AF8738" w14:textId="77777777" w:rsidR="00F23BAE" w:rsidRPr="00876B4D" w:rsidRDefault="00F23BAE" w:rsidP="00F23BAE">
      <w:pPr>
        <w:ind w:firstLine="720"/>
        <w:jc w:val="both"/>
        <w:rPr>
          <w:sz w:val="22"/>
          <w:szCs w:val="22"/>
        </w:rPr>
      </w:pPr>
    </w:p>
    <w:p w14:paraId="45E31EA0" w14:textId="77777777" w:rsidR="00F23BAE" w:rsidRPr="00876B4D" w:rsidRDefault="00F23BAE" w:rsidP="00F23BAE">
      <w:pPr>
        <w:ind w:left="360"/>
        <w:jc w:val="both"/>
        <w:rPr>
          <w:b/>
          <w:sz w:val="22"/>
          <w:szCs w:val="22"/>
        </w:rPr>
      </w:pPr>
      <w:r w:rsidRPr="00876B4D">
        <w:rPr>
          <w:b/>
          <w:sz w:val="22"/>
          <w:szCs w:val="22"/>
        </w:rPr>
        <w:t xml:space="preserve">Research and Scholarship Productivity Metrics:  </w:t>
      </w:r>
    </w:p>
    <w:p w14:paraId="351AAB35" w14:textId="77777777" w:rsidR="00F23BAE" w:rsidRPr="00876B4D" w:rsidRDefault="00F23BAE" w:rsidP="00F23BAE">
      <w:pPr>
        <w:numPr>
          <w:ilvl w:val="0"/>
          <w:numId w:val="2"/>
        </w:numPr>
        <w:jc w:val="both"/>
        <w:rPr>
          <w:sz w:val="22"/>
          <w:szCs w:val="22"/>
        </w:rPr>
      </w:pPr>
      <w:r w:rsidRPr="00876B4D">
        <w:rPr>
          <w:sz w:val="22"/>
          <w:szCs w:val="22"/>
        </w:rPr>
        <w:t>Faculty members on the CE and tenure track with assigned research effort may be eligible for an incentive linked to scholarly productivity.</w:t>
      </w:r>
    </w:p>
    <w:p w14:paraId="5B26DAE2" w14:textId="77777777" w:rsidR="00F23BAE" w:rsidRPr="00876B4D" w:rsidRDefault="00F23BAE" w:rsidP="00F23BAE">
      <w:pPr>
        <w:numPr>
          <w:ilvl w:val="0"/>
          <w:numId w:val="2"/>
        </w:numPr>
        <w:jc w:val="both"/>
        <w:rPr>
          <w:sz w:val="22"/>
          <w:szCs w:val="22"/>
        </w:rPr>
      </w:pPr>
      <w:r w:rsidRPr="00876B4D">
        <w:rPr>
          <w:sz w:val="22"/>
          <w:szCs w:val="22"/>
        </w:rPr>
        <w:t>Individual metrics may be identified to reward performance related to the research mission of the department. These goals will be consistent with the faculty member’s academic plan.  Criteria that may be used to measure academic and research performance include, but are not limited to:</w:t>
      </w:r>
    </w:p>
    <w:p w14:paraId="7CA7E6A4" w14:textId="77777777" w:rsidR="00F23BAE" w:rsidRPr="00876B4D" w:rsidRDefault="00F23BAE" w:rsidP="00F23BAE">
      <w:pPr>
        <w:numPr>
          <w:ilvl w:val="0"/>
          <w:numId w:val="15"/>
        </w:numPr>
        <w:ind w:left="1800"/>
        <w:jc w:val="both"/>
        <w:rPr>
          <w:sz w:val="22"/>
          <w:szCs w:val="22"/>
        </w:rPr>
      </w:pPr>
      <w:r w:rsidRPr="00876B4D">
        <w:rPr>
          <w:sz w:val="22"/>
          <w:szCs w:val="22"/>
        </w:rPr>
        <w:t>Salary support on extramural grants</w:t>
      </w:r>
    </w:p>
    <w:p w14:paraId="504819EA" w14:textId="77777777" w:rsidR="00F23BAE" w:rsidRPr="00876B4D" w:rsidRDefault="00F23BAE" w:rsidP="00F23BAE">
      <w:pPr>
        <w:numPr>
          <w:ilvl w:val="0"/>
          <w:numId w:val="15"/>
        </w:numPr>
        <w:ind w:left="1800"/>
        <w:jc w:val="both"/>
        <w:rPr>
          <w:sz w:val="22"/>
          <w:szCs w:val="22"/>
        </w:rPr>
      </w:pPr>
      <w:r w:rsidRPr="00876B4D">
        <w:rPr>
          <w:sz w:val="22"/>
          <w:szCs w:val="22"/>
        </w:rPr>
        <w:t>Grant proposal submissions</w:t>
      </w:r>
    </w:p>
    <w:p w14:paraId="7916F50E" w14:textId="77777777" w:rsidR="00F23BAE" w:rsidRPr="00876B4D" w:rsidRDefault="00F23BAE" w:rsidP="00F23BAE">
      <w:pPr>
        <w:numPr>
          <w:ilvl w:val="0"/>
          <w:numId w:val="15"/>
        </w:numPr>
        <w:ind w:left="1800"/>
        <w:jc w:val="both"/>
        <w:rPr>
          <w:sz w:val="22"/>
          <w:szCs w:val="22"/>
        </w:rPr>
      </w:pPr>
      <w:r w:rsidRPr="00876B4D">
        <w:rPr>
          <w:sz w:val="22"/>
          <w:szCs w:val="22"/>
        </w:rPr>
        <w:t>Peer-reviewed research publications (i.</w:t>
      </w:r>
      <w:proofErr w:type="gramStart"/>
      <w:r w:rsidRPr="00876B4D">
        <w:rPr>
          <w:sz w:val="22"/>
          <w:szCs w:val="22"/>
        </w:rPr>
        <w:t>e. #</w:t>
      </w:r>
      <w:proofErr w:type="gramEnd"/>
      <w:r w:rsidRPr="00876B4D">
        <w:rPr>
          <w:sz w:val="22"/>
          <w:szCs w:val="22"/>
        </w:rPr>
        <w:t xml:space="preserve"> 1</w:t>
      </w:r>
      <w:r w:rsidRPr="00876B4D">
        <w:rPr>
          <w:sz w:val="22"/>
          <w:szCs w:val="22"/>
          <w:vertAlign w:val="superscript"/>
        </w:rPr>
        <w:t>st</w:t>
      </w:r>
      <w:r w:rsidRPr="00876B4D">
        <w:rPr>
          <w:sz w:val="22"/>
          <w:szCs w:val="22"/>
        </w:rPr>
        <w:t xml:space="preserve"> or senior </w:t>
      </w:r>
      <w:proofErr w:type="gramStart"/>
      <w:r w:rsidRPr="00876B4D">
        <w:rPr>
          <w:sz w:val="22"/>
          <w:szCs w:val="22"/>
        </w:rPr>
        <w:t>author, #</w:t>
      </w:r>
      <w:proofErr w:type="gramEnd"/>
      <w:r w:rsidRPr="00876B4D">
        <w:rPr>
          <w:sz w:val="22"/>
          <w:szCs w:val="22"/>
        </w:rPr>
        <w:t xml:space="preserve"> high impact publications)</w:t>
      </w:r>
    </w:p>
    <w:p w14:paraId="00C40C22" w14:textId="77777777" w:rsidR="00F23BAE" w:rsidRPr="00876B4D" w:rsidRDefault="00F23BAE" w:rsidP="00F23BAE">
      <w:pPr>
        <w:numPr>
          <w:ilvl w:val="0"/>
          <w:numId w:val="15"/>
        </w:numPr>
        <w:ind w:left="1800"/>
        <w:jc w:val="both"/>
        <w:rPr>
          <w:sz w:val="22"/>
          <w:szCs w:val="22"/>
        </w:rPr>
      </w:pPr>
      <w:r w:rsidRPr="00876B4D">
        <w:rPr>
          <w:sz w:val="22"/>
          <w:szCs w:val="22"/>
        </w:rPr>
        <w:t>Participation and patient accrual in clinical trials</w:t>
      </w:r>
    </w:p>
    <w:p w14:paraId="7C121325" w14:textId="77777777" w:rsidR="00F23BAE" w:rsidRPr="00876B4D" w:rsidRDefault="00F23BAE" w:rsidP="00F23BAE">
      <w:pPr>
        <w:jc w:val="both"/>
        <w:rPr>
          <w:b/>
          <w:sz w:val="22"/>
          <w:szCs w:val="22"/>
        </w:rPr>
      </w:pPr>
    </w:p>
    <w:p w14:paraId="5C756562" w14:textId="77777777" w:rsidR="00F23BAE" w:rsidRPr="00876B4D" w:rsidRDefault="00F23BAE" w:rsidP="00F23BAE">
      <w:pPr>
        <w:ind w:left="360"/>
        <w:jc w:val="both"/>
        <w:rPr>
          <w:b/>
          <w:sz w:val="22"/>
          <w:szCs w:val="22"/>
        </w:rPr>
      </w:pPr>
      <w:r w:rsidRPr="00876B4D">
        <w:rPr>
          <w:b/>
          <w:sz w:val="22"/>
          <w:szCs w:val="22"/>
        </w:rPr>
        <w:t xml:space="preserve">Citizenship &amp; Service:  </w:t>
      </w:r>
    </w:p>
    <w:p w14:paraId="1EBF380C" w14:textId="77777777" w:rsidR="00F23BAE" w:rsidRPr="00876B4D" w:rsidRDefault="00F23BAE" w:rsidP="00F23BAE">
      <w:pPr>
        <w:numPr>
          <w:ilvl w:val="0"/>
          <w:numId w:val="2"/>
        </w:numPr>
        <w:jc w:val="both"/>
        <w:rPr>
          <w:sz w:val="22"/>
          <w:szCs w:val="22"/>
        </w:rPr>
      </w:pPr>
      <w:r w:rsidRPr="00876B4D">
        <w:rPr>
          <w:sz w:val="22"/>
          <w:szCs w:val="22"/>
        </w:rPr>
        <w:t xml:space="preserve">Some departments may choose to include citizenship and/or service to the department, PSOM or health system as part of their incentive program.  To recognize overall service and collegiality in the department, incentive may be awarded to recognize activities and the </w:t>
      </w:r>
      <w:proofErr w:type="gramStart"/>
      <w:r w:rsidRPr="00876B4D">
        <w:rPr>
          <w:sz w:val="22"/>
          <w:szCs w:val="22"/>
        </w:rPr>
        <w:t>manner in which</w:t>
      </w:r>
      <w:proofErr w:type="gramEnd"/>
      <w:r w:rsidRPr="00876B4D">
        <w:rPr>
          <w:sz w:val="22"/>
          <w:szCs w:val="22"/>
        </w:rPr>
        <w:t xml:space="preserve"> the activities were completed.  Such citizenship/service duties may include but are not limited to:</w:t>
      </w:r>
    </w:p>
    <w:p w14:paraId="28D5D6DD" w14:textId="77777777" w:rsidR="00F23BAE" w:rsidRPr="00876B4D" w:rsidRDefault="00F23BAE" w:rsidP="00F23BAE">
      <w:pPr>
        <w:numPr>
          <w:ilvl w:val="0"/>
          <w:numId w:val="15"/>
        </w:numPr>
        <w:ind w:left="1800"/>
        <w:jc w:val="both"/>
        <w:rPr>
          <w:sz w:val="22"/>
          <w:szCs w:val="22"/>
        </w:rPr>
      </w:pPr>
      <w:r w:rsidRPr="00876B4D">
        <w:rPr>
          <w:sz w:val="22"/>
          <w:szCs w:val="22"/>
        </w:rPr>
        <w:t>Attendance at grand rounds, faculty meetings, conferences, tumor board</w:t>
      </w:r>
    </w:p>
    <w:p w14:paraId="2EA0A019" w14:textId="77777777" w:rsidR="00F23BAE" w:rsidRPr="00876B4D" w:rsidRDefault="00F23BAE" w:rsidP="00F23BAE">
      <w:pPr>
        <w:numPr>
          <w:ilvl w:val="0"/>
          <w:numId w:val="15"/>
        </w:numPr>
        <w:ind w:left="1800"/>
        <w:jc w:val="both"/>
        <w:rPr>
          <w:sz w:val="22"/>
          <w:szCs w:val="22"/>
        </w:rPr>
      </w:pPr>
      <w:r w:rsidRPr="00876B4D">
        <w:rPr>
          <w:sz w:val="22"/>
          <w:szCs w:val="22"/>
        </w:rPr>
        <w:t>Timely effort report completion</w:t>
      </w:r>
    </w:p>
    <w:p w14:paraId="632AA151" w14:textId="77777777" w:rsidR="00F23BAE" w:rsidRPr="00876B4D" w:rsidRDefault="00F23BAE" w:rsidP="00F23BAE">
      <w:pPr>
        <w:numPr>
          <w:ilvl w:val="0"/>
          <w:numId w:val="15"/>
        </w:numPr>
        <w:ind w:left="1800"/>
        <w:jc w:val="both"/>
        <w:rPr>
          <w:sz w:val="22"/>
          <w:szCs w:val="22"/>
        </w:rPr>
      </w:pPr>
      <w:r w:rsidRPr="00876B4D">
        <w:rPr>
          <w:sz w:val="22"/>
          <w:szCs w:val="22"/>
        </w:rPr>
        <w:t>Annual billing compliance attendance</w:t>
      </w:r>
    </w:p>
    <w:p w14:paraId="757B9024" w14:textId="77777777" w:rsidR="00F23BAE" w:rsidRPr="00876B4D" w:rsidRDefault="00F23BAE" w:rsidP="00F23BAE">
      <w:pPr>
        <w:numPr>
          <w:ilvl w:val="0"/>
          <w:numId w:val="15"/>
        </w:numPr>
        <w:ind w:left="1800"/>
        <w:jc w:val="both"/>
        <w:rPr>
          <w:sz w:val="22"/>
          <w:szCs w:val="22"/>
        </w:rPr>
      </w:pPr>
      <w:r w:rsidRPr="00876B4D">
        <w:rPr>
          <w:sz w:val="22"/>
          <w:szCs w:val="22"/>
        </w:rPr>
        <w:t>Closure of EPIC open charts</w:t>
      </w:r>
    </w:p>
    <w:p w14:paraId="2055AE9D" w14:textId="77777777" w:rsidR="00F23BAE" w:rsidRPr="00876B4D" w:rsidRDefault="00F23BAE" w:rsidP="00F23BAE">
      <w:pPr>
        <w:numPr>
          <w:ilvl w:val="0"/>
          <w:numId w:val="15"/>
        </w:numPr>
        <w:ind w:left="1800"/>
        <w:jc w:val="both"/>
        <w:rPr>
          <w:sz w:val="22"/>
          <w:szCs w:val="22"/>
        </w:rPr>
      </w:pPr>
      <w:r w:rsidRPr="00876B4D">
        <w:rPr>
          <w:sz w:val="22"/>
          <w:szCs w:val="22"/>
        </w:rPr>
        <w:t xml:space="preserve"> Risk Reduction Initiative participation</w:t>
      </w:r>
    </w:p>
    <w:p w14:paraId="1218887E" w14:textId="77777777" w:rsidR="00F23BAE" w:rsidRPr="00876B4D" w:rsidRDefault="00F23BAE" w:rsidP="00F23BAE">
      <w:pPr>
        <w:numPr>
          <w:ilvl w:val="0"/>
          <w:numId w:val="15"/>
        </w:numPr>
        <w:ind w:left="1800"/>
        <w:jc w:val="both"/>
        <w:rPr>
          <w:sz w:val="22"/>
          <w:szCs w:val="22"/>
        </w:rPr>
      </w:pPr>
      <w:r w:rsidRPr="00876B4D">
        <w:rPr>
          <w:sz w:val="22"/>
          <w:szCs w:val="22"/>
        </w:rPr>
        <w:t xml:space="preserve">Timely </w:t>
      </w:r>
      <w:proofErr w:type="gramStart"/>
      <w:r w:rsidRPr="00876B4D">
        <w:rPr>
          <w:sz w:val="22"/>
          <w:szCs w:val="22"/>
        </w:rPr>
        <w:t>operative</w:t>
      </w:r>
      <w:proofErr w:type="gramEnd"/>
      <w:r w:rsidRPr="00876B4D">
        <w:rPr>
          <w:sz w:val="22"/>
          <w:szCs w:val="22"/>
        </w:rPr>
        <w:t xml:space="preserve"> note completion</w:t>
      </w:r>
    </w:p>
    <w:p w14:paraId="5238F9E0" w14:textId="77777777" w:rsidR="00F23BAE" w:rsidRPr="00876B4D" w:rsidRDefault="00F23BAE" w:rsidP="00F23BAE">
      <w:pPr>
        <w:numPr>
          <w:ilvl w:val="0"/>
          <w:numId w:val="15"/>
        </w:numPr>
        <w:ind w:left="1800"/>
        <w:jc w:val="both"/>
        <w:rPr>
          <w:sz w:val="22"/>
          <w:szCs w:val="22"/>
        </w:rPr>
      </w:pPr>
      <w:r w:rsidRPr="00876B4D">
        <w:rPr>
          <w:sz w:val="22"/>
          <w:szCs w:val="22"/>
        </w:rPr>
        <w:t>Resident evaluation completion</w:t>
      </w:r>
    </w:p>
    <w:p w14:paraId="6ED6F7BD" w14:textId="77777777" w:rsidR="00F23BAE" w:rsidRPr="00876B4D" w:rsidRDefault="00F23BAE" w:rsidP="00F23BAE">
      <w:pPr>
        <w:numPr>
          <w:ilvl w:val="0"/>
          <w:numId w:val="15"/>
        </w:numPr>
        <w:ind w:left="1800"/>
        <w:jc w:val="both"/>
        <w:rPr>
          <w:sz w:val="22"/>
          <w:szCs w:val="22"/>
        </w:rPr>
      </w:pPr>
      <w:r w:rsidRPr="00876B4D">
        <w:rPr>
          <w:sz w:val="22"/>
          <w:szCs w:val="22"/>
        </w:rPr>
        <w:t>Extramural reports filed</w:t>
      </w:r>
    </w:p>
    <w:p w14:paraId="47EB070B" w14:textId="77777777" w:rsidR="00F23BAE" w:rsidRPr="00876B4D" w:rsidRDefault="00F23BAE" w:rsidP="00F23BAE">
      <w:pPr>
        <w:numPr>
          <w:ilvl w:val="0"/>
          <w:numId w:val="15"/>
        </w:numPr>
        <w:ind w:left="1800"/>
        <w:jc w:val="both"/>
        <w:rPr>
          <w:sz w:val="22"/>
          <w:szCs w:val="22"/>
        </w:rPr>
      </w:pPr>
      <w:r w:rsidRPr="00876B4D">
        <w:rPr>
          <w:sz w:val="22"/>
          <w:szCs w:val="22"/>
        </w:rPr>
        <w:t xml:space="preserve">Mandatory educational requirements (including mandatory Knowledge Link) </w:t>
      </w:r>
    </w:p>
    <w:p w14:paraId="1E7A14BA" w14:textId="77777777" w:rsidR="00F23BAE" w:rsidRPr="00876B4D" w:rsidRDefault="00F23BAE" w:rsidP="00F23BAE">
      <w:pPr>
        <w:numPr>
          <w:ilvl w:val="0"/>
          <w:numId w:val="15"/>
        </w:numPr>
        <w:ind w:left="1800"/>
        <w:jc w:val="both"/>
        <w:rPr>
          <w:sz w:val="22"/>
          <w:szCs w:val="22"/>
        </w:rPr>
      </w:pPr>
      <w:r w:rsidRPr="00876B4D">
        <w:rPr>
          <w:sz w:val="22"/>
          <w:szCs w:val="22"/>
        </w:rPr>
        <w:t>Leadership of department, division, Penn Medicine committee or work group</w:t>
      </w:r>
    </w:p>
    <w:p w14:paraId="4C79F458" w14:textId="77777777" w:rsidR="00F23BAE" w:rsidRPr="00876B4D" w:rsidRDefault="00F23BAE" w:rsidP="00F23BAE">
      <w:pPr>
        <w:jc w:val="both"/>
        <w:rPr>
          <w:b/>
          <w:sz w:val="22"/>
          <w:szCs w:val="22"/>
        </w:rPr>
      </w:pPr>
    </w:p>
    <w:p w14:paraId="30D6F7EB" w14:textId="77777777" w:rsidR="000038EC" w:rsidRPr="00876B4D" w:rsidRDefault="000038EC" w:rsidP="000038EC">
      <w:pPr>
        <w:jc w:val="both"/>
        <w:rPr>
          <w:sz w:val="22"/>
          <w:szCs w:val="22"/>
        </w:rPr>
      </w:pPr>
    </w:p>
    <w:p w14:paraId="41F1D19B" w14:textId="2F9CD38F" w:rsidR="000038EC" w:rsidRPr="00876B4D" w:rsidRDefault="000038EC" w:rsidP="000038EC">
      <w:pPr>
        <w:jc w:val="both"/>
        <w:rPr>
          <w:sz w:val="22"/>
          <w:szCs w:val="22"/>
          <w:u w:val="single"/>
        </w:rPr>
      </w:pPr>
    </w:p>
    <w:p w14:paraId="2E6CE9C5" w14:textId="2350F5B9" w:rsidR="00C0581F" w:rsidRPr="00876B4D" w:rsidRDefault="00C0581F" w:rsidP="000038EC">
      <w:pPr>
        <w:jc w:val="both"/>
        <w:rPr>
          <w:sz w:val="22"/>
          <w:szCs w:val="22"/>
          <w:u w:val="single"/>
        </w:rPr>
      </w:pPr>
    </w:p>
    <w:p w14:paraId="73EF74CC" w14:textId="4460B7F6" w:rsidR="00C0581F" w:rsidRPr="00876B4D" w:rsidRDefault="00C0581F" w:rsidP="000038EC">
      <w:pPr>
        <w:jc w:val="both"/>
        <w:rPr>
          <w:sz w:val="22"/>
          <w:szCs w:val="22"/>
          <w:u w:val="single"/>
        </w:rPr>
      </w:pPr>
    </w:p>
    <w:p w14:paraId="4D7E29F7" w14:textId="7C1CBB26" w:rsidR="00C0581F" w:rsidRPr="00876B4D" w:rsidRDefault="00C0581F" w:rsidP="000038EC">
      <w:pPr>
        <w:jc w:val="both"/>
        <w:rPr>
          <w:sz w:val="22"/>
          <w:szCs w:val="22"/>
          <w:u w:val="single"/>
        </w:rPr>
      </w:pPr>
    </w:p>
    <w:p w14:paraId="75449983" w14:textId="63C22867" w:rsidR="00C0581F" w:rsidRPr="00876B4D" w:rsidRDefault="00C0581F" w:rsidP="000038EC">
      <w:pPr>
        <w:jc w:val="both"/>
        <w:rPr>
          <w:sz w:val="22"/>
          <w:szCs w:val="22"/>
          <w:u w:val="single"/>
        </w:rPr>
      </w:pPr>
    </w:p>
    <w:p w14:paraId="2A94F453" w14:textId="2F6DE620" w:rsidR="00C0581F" w:rsidRPr="00876B4D" w:rsidRDefault="00C0581F" w:rsidP="000038EC">
      <w:pPr>
        <w:jc w:val="both"/>
        <w:rPr>
          <w:sz w:val="22"/>
          <w:szCs w:val="22"/>
          <w:u w:val="single"/>
        </w:rPr>
      </w:pPr>
    </w:p>
    <w:p w14:paraId="26222887" w14:textId="077980CA" w:rsidR="00C0581F" w:rsidRPr="00876B4D" w:rsidRDefault="00C0581F" w:rsidP="000038EC">
      <w:pPr>
        <w:jc w:val="both"/>
        <w:rPr>
          <w:sz w:val="22"/>
          <w:szCs w:val="22"/>
          <w:u w:val="single"/>
        </w:rPr>
      </w:pPr>
    </w:p>
    <w:p w14:paraId="5B4E6C45" w14:textId="6A9C7751" w:rsidR="00C0581F" w:rsidRPr="00876B4D" w:rsidRDefault="00C0581F" w:rsidP="000038EC">
      <w:pPr>
        <w:jc w:val="both"/>
        <w:rPr>
          <w:sz w:val="22"/>
          <w:szCs w:val="22"/>
          <w:u w:val="single"/>
        </w:rPr>
      </w:pPr>
    </w:p>
    <w:p w14:paraId="0F9A5FFB" w14:textId="77777777" w:rsidR="00C0581F" w:rsidRPr="00876B4D" w:rsidRDefault="00C0581F" w:rsidP="000038EC">
      <w:pPr>
        <w:jc w:val="both"/>
        <w:rPr>
          <w:sz w:val="22"/>
          <w:szCs w:val="22"/>
          <w:u w:val="single"/>
        </w:rPr>
      </w:pPr>
    </w:p>
    <w:p w14:paraId="7502FBFA" w14:textId="77777777" w:rsidR="000038EC" w:rsidRPr="00876B4D" w:rsidRDefault="000038EC" w:rsidP="000038EC">
      <w:pPr>
        <w:jc w:val="both"/>
        <w:rPr>
          <w:sz w:val="22"/>
          <w:szCs w:val="22"/>
          <w:u w:val="single"/>
        </w:rPr>
      </w:pPr>
    </w:p>
    <w:p w14:paraId="29D15D5C" w14:textId="3060D5D5" w:rsidR="00C0581F" w:rsidRPr="00876B4D" w:rsidRDefault="00C0581F" w:rsidP="00C0581F">
      <w:pPr>
        <w:jc w:val="center"/>
        <w:rPr>
          <w:b/>
          <w:sz w:val="22"/>
          <w:szCs w:val="22"/>
        </w:rPr>
      </w:pPr>
      <w:r w:rsidRPr="00876B4D">
        <w:rPr>
          <w:b/>
          <w:sz w:val="22"/>
          <w:szCs w:val="22"/>
        </w:rPr>
        <w:t>ADDENDUM</w:t>
      </w:r>
    </w:p>
    <w:p w14:paraId="0DF82852" w14:textId="77777777" w:rsidR="00C0581F" w:rsidRPr="00876B4D" w:rsidRDefault="00C0581F" w:rsidP="00C0581F">
      <w:pPr>
        <w:jc w:val="center"/>
        <w:rPr>
          <w:b/>
          <w:sz w:val="22"/>
          <w:szCs w:val="22"/>
        </w:rPr>
      </w:pPr>
    </w:p>
    <w:p w14:paraId="0E898967" w14:textId="3576CE33" w:rsidR="000038EC" w:rsidRPr="00876B4D" w:rsidRDefault="00C0581F" w:rsidP="00C0581F">
      <w:pPr>
        <w:jc w:val="center"/>
        <w:rPr>
          <w:b/>
          <w:sz w:val="22"/>
          <w:szCs w:val="22"/>
        </w:rPr>
      </w:pPr>
      <w:r w:rsidRPr="00876B4D">
        <w:rPr>
          <w:b/>
          <w:sz w:val="22"/>
          <w:szCs w:val="22"/>
        </w:rPr>
        <w:t>Department of [insert]</w:t>
      </w:r>
    </w:p>
    <w:p w14:paraId="6F40B8AA" w14:textId="456FF827" w:rsidR="00F9667A" w:rsidRPr="00876B4D" w:rsidRDefault="00F9667A" w:rsidP="00C0581F">
      <w:pPr>
        <w:jc w:val="center"/>
        <w:rPr>
          <w:b/>
          <w:sz w:val="22"/>
          <w:szCs w:val="22"/>
        </w:rPr>
      </w:pPr>
    </w:p>
    <w:p w14:paraId="1DDAFBF3" w14:textId="08884BF0" w:rsidR="00C0581F" w:rsidRPr="00876B4D" w:rsidRDefault="00C0581F" w:rsidP="00C0581F">
      <w:pPr>
        <w:jc w:val="both"/>
        <w:rPr>
          <w:sz w:val="22"/>
          <w:szCs w:val="22"/>
        </w:rPr>
      </w:pPr>
      <w:r w:rsidRPr="00876B4D">
        <w:rPr>
          <w:sz w:val="22"/>
          <w:szCs w:val="22"/>
        </w:rPr>
        <w:t xml:space="preserve">Please describe criteria for setting base salary and incentive as a percentage of total target compensation and </w:t>
      </w:r>
      <w:r w:rsidR="001C757F" w:rsidRPr="00876B4D">
        <w:rPr>
          <w:sz w:val="22"/>
          <w:szCs w:val="22"/>
        </w:rPr>
        <w:t xml:space="preserve">describe the </w:t>
      </w:r>
      <w:r w:rsidRPr="00876B4D">
        <w:rPr>
          <w:sz w:val="22"/>
          <w:szCs w:val="22"/>
        </w:rPr>
        <w:t>incentive plan.</w:t>
      </w:r>
    </w:p>
    <w:p w14:paraId="54C67B3E" w14:textId="49ABD289" w:rsidR="00C0581F" w:rsidRPr="00876B4D" w:rsidRDefault="00C0581F" w:rsidP="00C0581F">
      <w:pPr>
        <w:pStyle w:val="ListParagraph"/>
        <w:ind w:left="1440"/>
        <w:jc w:val="both"/>
        <w:rPr>
          <w:sz w:val="22"/>
          <w:szCs w:val="22"/>
        </w:rPr>
      </w:pPr>
    </w:p>
    <w:sectPr w:rsidR="00C0581F" w:rsidRPr="00876B4D" w:rsidSect="00C47870">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FFE8" w14:textId="77777777" w:rsidR="00724BD5" w:rsidRDefault="00724BD5">
      <w:r>
        <w:separator/>
      </w:r>
    </w:p>
  </w:endnote>
  <w:endnote w:type="continuationSeparator" w:id="0">
    <w:p w14:paraId="38530785" w14:textId="77777777" w:rsidR="00724BD5" w:rsidRDefault="0072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rm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F754" w14:textId="77777777" w:rsidR="000603F2" w:rsidRDefault="000603F2" w:rsidP="000832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53339" w14:textId="77777777" w:rsidR="000603F2" w:rsidRDefault="00060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34D8" w14:textId="77777777" w:rsidR="000603F2" w:rsidRDefault="000603F2">
    <w:pPr>
      <w:pStyle w:val="Footer"/>
    </w:pPr>
    <w:r>
      <w:t xml:space="preserve">Page | </w:t>
    </w:r>
    <w:r>
      <w:fldChar w:fldCharType="begin"/>
    </w:r>
    <w:r>
      <w:instrText xml:space="preserve"> PAGE   \* MERGEFORMAT </w:instrText>
    </w:r>
    <w:r>
      <w:fldChar w:fldCharType="separate"/>
    </w:r>
    <w:r>
      <w:rPr>
        <w:noProof/>
      </w:rPr>
      <w:t>9</w:t>
    </w:r>
    <w:r>
      <w:fldChar w:fldCharType="end"/>
    </w:r>
  </w:p>
  <w:p w14:paraId="44D411AB" w14:textId="77777777" w:rsidR="000603F2" w:rsidRDefault="000603F2">
    <w:pPr>
      <w:pStyle w:val="Footer"/>
    </w:pPr>
  </w:p>
  <w:p w14:paraId="497B6893" w14:textId="0681B4F9" w:rsidR="008277D1" w:rsidRDefault="00493956">
    <w:pPr>
      <w:pStyle w:val="Footer"/>
    </w:pPr>
    <w:fldSimple w:instr=" DOCPROPERTY iManageFooter \* MERGEFORMAT ">
      <w:r w:rsidRPr="00493956">
        <w:rPr>
          <w:rFonts w:ascii="Normal" w:hAnsi="Normal"/>
          <w:sz w:val="16"/>
        </w:rPr>
        <w:t>PENN #489694.1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7C3F" w14:textId="77777777" w:rsidR="008277D1" w:rsidRDefault="008277D1">
    <w:pPr>
      <w:pStyle w:val="Footer"/>
    </w:pPr>
  </w:p>
  <w:p w14:paraId="51AE1031" w14:textId="14767741" w:rsidR="008277D1" w:rsidRDefault="008277D1">
    <w:pPr>
      <w:pStyle w:val="Footer"/>
    </w:pPr>
    <w:r>
      <w:fldChar w:fldCharType="begin"/>
    </w:r>
    <w:r>
      <w:instrText xml:space="preserve"> DOCPROPERTY iManageFooter \* MERGEFORMAT </w:instrText>
    </w:r>
    <w:r>
      <w:fldChar w:fldCharType="separate"/>
    </w:r>
    <w:r w:rsidR="00493956" w:rsidRPr="00493956">
      <w:rPr>
        <w:rFonts w:ascii="Normal" w:hAnsi="Normal"/>
        <w:sz w:val="16"/>
      </w:rPr>
      <w:t>PENN #489694.1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8F9C" w14:textId="77777777" w:rsidR="00724BD5" w:rsidRDefault="00724BD5">
      <w:r>
        <w:separator/>
      </w:r>
    </w:p>
  </w:footnote>
  <w:footnote w:type="continuationSeparator" w:id="0">
    <w:p w14:paraId="21D7E43F" w14:textId="77777777" w:rsidR="00724BD5" w:rsidRDefault="00724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268C" w14:textId="77777777" w:rsidR="008277D1" w:rsidRDefault="00827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9795" w14:textId="77777777" w:rsidR="008277D1" w:rsidRDefault="00827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5D6D" w14:textId="77777777" w:rsidR="000603F2" w:rsidRDefault="00060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AC6"/>
    <w:multiLevelType w:val="hybridMultilevel"/>
    <w:tmpl w:val="BDCC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52535"/>
    <w:multiLevelType w:val="hybridMultilevel"/>
    <w:tmpl w:val="126E5D96"/>
    <w:lvl w:ilvl="0" w:tplc="DA8AA12A">
      <w:start w:val="1"/>
      <w:numFmt w:val="bullet"/>
      <w:lvlText w:val="•"/>
      <w:lvlJc w:val="left"/>
      <w:pPr>
        <w:tabs>
          <w:tab w:val="num" w:pos="720"/>
        </w:tabs>
        <w:ind w:left="720" w:hanging="360"/>
      </w:pPr>
      <w:rPr>
        <w:rFonts w:ascii="Arial" w:hAnsi="Arial" w:hint="default"/>
      </w:rPr>
    </w:lvl>
    <w:lvl w:ilvl="1" w:tplc="66D0D094" w:tentative="1">
      <w:start w:val="1"/>
      <w:numFmt w:val="bullet"/>
      <w:lvlText w:val="•"/>
      <w:lvlJc w:val="left"/>
      <w:pPr>
        <w:tabs>
          <w:tab w:val="num" w:pos="1440"/>
        </w:tabs>
        <w:ind w:left="1440" w:hanging="360"/>
      </w:pPr>
      <w:rPr>
        <w:rFonts w:ascii="Arial" w:hAnsi="Arial" w:hint="default"/>
      </w:rPr>
    </w:lvl>
    <w:lvl w:ilvl="2" w:tplc="5D608016" w:tentative="1">
      <w:start w:val="1"/>
      <w:numFmt w:val="bullet"/>
      <w:lvlText w:val="•"/>
      <w:lvlJc w:val="left"/>
      <w:pPr>
        <w:tabs>
          <w:tab w:val="num" w:pos="2160"/>
        </w:tabs>
        <w:ind w:left="2160" w:hanging="360"/>
      </w:pPr>
      <w:rPr>
        <w:rFonts w:ascii="Arial" w:hAnsi="Arial" w:hint="default"/>
      </w:rPr>
    </w:lvl>
    <w:lvl w:ilvl="3" w:tplc="3190B8B4" w:tentative="1">
      <w:start w:val="1"/>
      <w:numFmt w:val="bullet"/>
      <w:lvlText w:val="•"/>
      <w:lvlJc w:val="left"/>
      <w:pPr>
        <w:tabs>
          <w:tab w:val="num" w:pos="2880"/>
        </w:tabs>
        <w:ind w:left="2880" w:hanging="360"/>
      </w:pPr>
      <w:rPr>
        <w:rFonts w:ascii="Arial" w:hAnsi="Arial" w:hint="default"/>
      </w:rPr>
    </w:lvl>
    <w:lvl w:ilvl="4" w:tplc="8B2A3E7A" w:tentative="1">
      <w:start w:val="1"/>
      <w:numFmt w:val="bullet"/>
      <w:lvlText w:val="•"/>
      <w:lvlJc w:val="left"/>
      <w:pPr>
        <w:tabs>
          <w:tab w:val="num" w:pos="3600"/>
        </w:tabs>
        <w:ind w:left="3600" w:hanging="360"/>
      </w:pPr>
      <w:rPr>
        <w:rFonts w:ascii="Arial" w:hAnsi="Arial" w:hint="default"/>
      </w:rPr>
    </w:lvl>
    <w:lvl w:ilvl="5" w:tplc="543CF58A" w:tentative="1">
      <w:start w:val="1"/>
      <w:numFmt w:val="bullet"/>
      <w:lvlText w:val="•"/>
      <w:lvlJc w:val="left"/>
      <w:pPr>
        <w:tabs>
          <w:tab w:val="num" w:pos="4320"/>
        </w:tabs>
        <w:ind w:left="4320" w:hanging="360"/>
      </w:pPr>
      <w:rPr>
        <w:rFonts w:ascii="Arial" w:hAnsi="Arial" w:hint="default"/>
      </w:rPr>
    </w:lvl>
    <w:lvl w:ilvl="6" w:tplc="7B700E22" w:tentative="1">
      <w:start w:val="1"/>
      <w:numFmt w:val="bullet"/>
      <w:lvlText w:val="•"/>
      <w:lvlJc w:val="left"/>
      <w:pPr>
        <w:tabs>
          <w:tab w:val="num" w:pos="5040"/>
        </w:tabs>
        <w:ind w:left="5040" w:hanging="360"/>
      </w:pPr>
      <w:rPr>
        <w:rFonts w:ascii="Arial" w:hAnsi="Arial" w:hint="default"/>
      </w:rPr>
    </w:lvl>
    <w:lvl w:ilvl="7" w:tplc="9AE845A6" w:tentative="1">
      <w:start w:val="1"/>
      <w:numFmt w:val="bullet"/>
      <w:lvlText w:val="•"/>
      <w:lvlJc w:val="left"/>
      <w:pPr>
        <w:tabs>
          <w:tab w:val="num" w:pos="5760"/>
        </w:tabs>
        <w:ind w:left="5760" w:hanging="360"/>
      </w:pPr>
      <w:rPr>
        <w:rFonts w:ascii="Arial" w:hAnsi="Arial" w:hint="default"/>
      </w:rPr>
    </w:lvl>
    <w:lvl w:ilvl="8" w:tplc="643230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6C5A69"/>
    <w:multiLevelType w:val="hybridMultilevel"/>
    <w:tmpl w:val="596C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796F"/>
    <w:multiLevelType w:val="multilevel"/>
    <w:tmpl w:val="C97E62F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C00AFF"/>
    <w:multiLevelType w:val="hybridMultilevel"/>
    <w:tmpl w:val="1E061D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CA43FA"/>
    <w:multiLevelType w:val="hybridMultilevel"/>
    <w:tmpl w:val="06367F68"/>
    <w:lvl w:ilvl="0" w:tplc="619872E6">
      <w:start w:val="1"/>
      <w:numFmt w:val="bullet"/>
      <w:lvlText w:val="•"/>
      <w:lvlJc w:val="left"/>
      <w:pPr>
        <w:tabs>
          <w:tab w:val="num" w:pos="720"/>
        </w:tabs>
        <w:ind w:left="720" w:hanging="360"/>
      </w:pPr>
      <w:rPr>
        <w:rFonts w:ascii="Arial" w:hAnsi="Arial" w:hint="default"/>
      </w:rPr>
    </w:lvl>
    <w:lvl w:ilvl="1" w:tplc="6F2A0CD6">
      <w:start w:val="1"/>
      <w:numFmt w:val="bullet"/>
      <w:lvlText w:val="•"/>
      <w:lvlJc w:val="left"/>
      <w:pPr>
        <w:tabs>
          <w:tab w:val="num" w:pos="1440"/>
        </w:tabs>
        <w:ind w:left="1440" w:hanging="360"/>
      </w:pPr>
      <w:rPr>
        <w:rFonts w:ascii="Arial" w:hAnsi="Arial" w:hint="default"/>
      </w:rPr>
    </w:lvl>
    <w:lvl w:ilvl="2" w:tplc="E492595A" w:tentative="1">
      <w:start w:val="1"/>
      <w:numFmt w:val="bullet"/>
      <w:lvlText w:val="•"/>
      <w:lvlJc w:val="left"/>
      <w:pPr>
        <w:tabs>
          <w:tab w:val="num" w:pos="2160"/>
        </w:tabs>
        <w:ind w:left="2160" w:hanging="360"/>
      </w:pPr>
      <w:rPr>
        <w:rFonts w:ascii="Arial" w:hAnsi="Arial" w:hint="default"/>
      </w:rPr>
    </w:lvl>
    <w:lvl w:ilvl="3" w:tplc="25849B72" w:tentative="1">
      <w:start w:val="1"/>
      <w:numFmt w:val="bullet"/>
      <w:lvlText w:val="•"/>
      <w:lvlJc w:val="left"/>
      <w:pPr>
        <w:tabs>
          <w:tab w:val="num" w:pos="2880"/>
        </w:tabs>
        <w:ind w:left="2880" w:hanging="360"/>
      </w:pPr>
      <w:rPr>
        <w:rFonts w:ascii="Arial" w:hAnsi="Arial" w:hint="default"/>
      </w:rPr>
    </w:lvl>
    <w:lvl w:ilvl="4" w:tplc="CE86A426" w:tentative="1">
      <w:start w:val="1"/>
      <w:numFmt w:val="bullet"/>
      <w:lvlText w:val="•"/>
      <w:lvlJc w:val="left"/>
      <w:pPr>
        <w:tabs>
          <w:tab w:val="num" w:pos="3600"/>
        </w:tabs>
        <w:ind w:left="3600" w:hanging="360"/>
      </w:pPr>
      <w:rPr>
        <w:rFonts w:ascii="Arial" w:hAnsi="Arial" w:hint="default"/>
      </w:rPr>
    </w:lvl>
    <w:lvl w:ilvl="5" w:tplc="D87C933C" w:tentative="1">
      <w:start w:val="1"/>
      <w:numFmt w:val="bullet"/>
      <w:lvlText w:val="•"/>
      <w:lvlJc w:val="left"/>
      <w:pPr>
        <w:tabs>
          <w:tab w:val="num" w:pos="4320"/>
        </w:tabs>
        <w:ind w:left="4320" w:hanging="360"/>
      </w:pPr>
      <w:rPr>
        <w:rFonts w:ascii="Arial" w:hAnsi="Arial" w:hint="default"/>
      </w:rPr>
    </w:lvl>
    <w:lvl w:ilvl="6" w:tplc="E8E42040" w:tentative="1">
      <w:start w:val="1"/>
      <w:numFmt w:val="bullet"/>
      <w:lvlText w:val="•"/>
      <w:lvlJc w:val="left"/>
      <w:pPr>
        <w:tabs>
          <w:tab w:val="num" w:pos="5040"/>
        </w:tabs>
        <w:ind w:left="5040" w:hanging="360"/>
      </w:pPr>
      <w:rPr>
        <w:rFonts w:ascii="Arial" w:hAnsi="Arial" w:hint="default"/>
      </w:rPr>
    </w:lvl>
    <w:lvl w:ilvl="7" w:tplc="85B4ABC4" w:tentative="1">
      <w:start w:val="1"/>
      <w:numFmt w:val="bullet"/>
      <w:lvlText w:val="•"/>
      <w:lvlJc w:val="left"/>
      <w:pPr>
        <w:tabs>
          <w:tab w:val="num" w:pos="5760"/>
        </w:tabs>
        <w:ind w:left="5760" w:hanging="360"/>
      </w:pPr>
      <w:rPr>
        <w:rFonts w:ascii="Arial" w:hAnsi="Arial" w:hint="default"/>
      </w:rPr>
    </w:lvl>
    <w:lvl w:ilvl="8" w:tplc="114848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803613"/>
    <w:multiLevelType w:val="hybridMultilevel"/>
    <w:tmpl w:val="4E628774"/>
    <w:lvl w:ilvl="0" w:tplc="06C2B998">
      <w:start w:val="1"/>
      <w:numFmt w:val="bullet"/>
      <w:lvlText w:val="•"/>
      <w:lvlJc w:val="left"/>
      <w:pPr>
        <w:tabs>
          <w:tab w:val="num" w:pos="720"/>
        </w:tabs>
        <w:ind w:left="720" w:hanging="360"/>
      </w:pPr>
      <w:rPr>
        <w:rFonts w:ascii="Arial" w:hAnsi="Arial" w:hint="default"/>
      </w:rPr>
    </w:lvl>
    <w:lvl w:ilvl="1" w:tplc="6C00D042">
      <w:start w:val="1"/>
      <w:numFmt w:val="bullet"/>
      <w:lvlText w:val="•"/>
      <w:lvlJc w:val="left"/>
      <w:pPr>
        <w:tabs>
          <w:tab w:val="num" w:pos="1440"/>
        </w:tabs>
        <w:ind w:left="1440" w:hanging="360"/>
      </w:pPr>
      <w:rPr>
        <w:rFonts w:ascii="Arial" w:hAnsi="Arial" w:hint="default"/>
      </w:rPr>
    </w:lvl>
    <w:lvl w:ilvl="2" w:tplc="248A17E0" w:tentative="1">
      <w:start w:val="1"/>
      <w:numFmt w:val="bullet"/>
      <w:lvlText w:val="•"/>
      <w:lvlJc w:val="left"/>
      <w:pPr>
        <w:tabs>
          <w:tab w:val="num" w:pos="2160"/>
        </w:tabs>
        <w:ind w:left="2160" w:hanging="360"/>
      </w:pPr>
      <w:rPr>
        <w:rFonts w:ascii="Arial" w:hAnsi="Arial" w:hint="default"/>
      </w:rPr>
    </w:lvl>
    <w:lvl w:ilvl="3" w:tplc="5FCEE0FA">
      <w:numFmt w:val="bullet"/>
      <w:lvlText w:val="o"/>
      <w:lvlJc w:val="left"/>
      <w:pPr>
        <w:tabs>
          <w:tab w:val="num" w:pos="2880"/>
        </w:tabs>
        <w:ind w:left="2880" w:hanging="360"/>
      </w:pPr>
      <w:rPr>
        <w:rFonts w:ascii="Courier New" w:hAnsi="Courier New" w:hint="default"/>
      </w:rPr>
    </w:lvl>
    <w:lvl w:ilvl="4" w:tplc="8268707E" w:tentative="1">
      <w:start w:val="1"/>
      <w:numFmt w:val="bullet"/>
      <w:lvlText w:val="•"/>
      <w:lvlJc w:val="left"/>
      <w:pPr>
        <w:tabs>
          <w:tab w:val="num" w:pos="3600"/>
        </w:tabs>
        <w:ind w:left="3600" w:hanging="360"/>
      </w:pPr>
      <w:rPr>
        <w:rFonts w:ascii="Arial" w:hAnsi="Arial" w:hint="default"/>
      </w:rPr>
    </w:lvl>
    <w:lvl w:ilvl="5" w:tplc="1A1E405E" w:tentative="1">
      <w:start w:val="1"/>
      <w:numFmt w:val="bullet"/>
      <w:lvlText w:val="•"/>
      <w:lvlJc w:val="left"/>
      <w:pPr>
        <w:tabs>
          <w:tab w:val="num" w:pos="4320"/>
        </w:tabs>
        <w:ind w:left="4320" w:hanging="360"/>
      </w:pPr>
      <w:rPr>
        <w:rFonts w:ascii="Arial" w:hAnsi="Arial" w:hint="default"/>
      </w:rPr>
    </w:lvl>
    <w:lvl w:ilvl="6" w:tplc="BB624772" w:tentative="1">
      <w:start w:val="1"/>
      <w:numFmt w:val="bullet"/>
      <w:lvlText w:val="•"/>
      <w:lvlJc w:val="left"/>
      <w:pPr>
        <w:tabs>
          <w:tab w:val="num" w:pos="5040"/>
        </w:tabs>
        <w:ind w:left="5040" w:hanging="360"/>
      </w:pPr>
      <w:rPr>
        <w:rFonts w:ascii="Arial" w:hAnsi="Arial" w:hint="default"/>
      </w:rPr>
    </w:lvl>
    <w:lvl w:ilvl="7" w:tplc="617433E6" w:tentative="1">
      <w:start w:val="1"/>
      <w:numFmt w:val="bullet"/>
      <w:lvlText w:val="•"/>
      <w:lvlJc w:val="left"/>
      <w:pPr>
        <w:tabs>
          <w:tab w:val="num" w:pos="5760"/>
        </w:tabs>
        <w:ind w:left="5760" w:hanging="360"/>
      </w:pPr>
      <w:rPr>
        <w:rFonts w:ascii="Arial" w:hAnsi="Arial" w:hint="default"/>
      </w:rPr>
    </w:lvl>
    <w:lvl w:ilvl="8" w:tplc="506222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BC2311"/>
    <w:multiLevelType w:val="hybridMultilevel"/>
    <w:tmpl w:val="1A14E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E730A"/>
    <w:multiLevelType w:val="hybridMultilevel"/>
    <w:tmpl w:val="32766496"/>
    <w:lvl w:ilvl="0" w:tplc="37261FBC">
      <w:start w:val="1"/>
      <w:numFmt w:val="bullet"/>
      <w:lvlText w:val="•"/>
      <w:lvlJc w:val="left"/>
      <w:pPr>
        <w:tabs>
          <w:tab w:val="num" w:pos="720"/>
        </w:tabs>
        <w:ind w:left="720" w:hanging="360"/>
      </w:pPr>
      <w:rPr>
        <w:rFonts w:ascii="Arial" w:hAnsi="Arial" w:hint="default"/>
      </w:rPr>
    </w:lvl>
    <w:lvl w:ilvl="1" w:tplc="C8341A8E" w:tentative="1">
      <w:start w:val="1"/>
      <w:numFmt w:val="bullet"/>
      <w:lvlText w:val="•"/>
      <w:lvlJc w:val="left"/>
      <w:pPr>
        <w:tabs>
          <w:tab w:val="num" w:pos="1440"/>
        </w:tabs>
        <w:ind w:left="1440" w:hanging="360"/>
      </w:pPr>
      <w:rPr>
        <w:rFonts w:ascii="Arial" w:hAnsi="Arial" w:hint="default"/>
      </w:rPr>
    </w:lvl>
    <w:lvl w:ilvl="2" w:tplc="1F903150">
      <w:start w:val="1501"/>
      <w:numFmt w:val="bullet"/>
      <w:lvlText w:val="—"/>
      <w:lvlJc w:val="left"/>
      <w:pPr>
        <w:tabs>
          <w:tab w:val="num" w:pos="2160"/>
        </w:tabs>
        <w:ind w:left="2160" w:hanging="360"/>
      </w:pPr>
      <w:rPr>
        <w:rFonts w:ascii="Calibri Light" w:hAnsi="Calibri Light" w:hint="default"/>
      </w:rPr>
    </w:lvl>
    <w:lvl w:ilvl="3" w:tplc="28E65BDC" w:tentative="1">
      <w:start w:val="1"/>
      <w:numFmt w:val="bullet"/>
      <w:lvlText w:val="•"/>
      <w:lvlJc w:val="left"/>
      <w:pPr>
        <w:tabs>
          <w:tab w:val="num" w:pos="2880"/>
        </w:tabs>
        <w:ind w:left="2880" w:hanging="360"/>
      </w:pPr>
      <w:rPr>
        <w:rFonts w:ascii="Arial" w:hAnsi="Arial" w:hint="default"/>
      </w:rPr>
    </w:lvl>
    <w:lvl w:ilvl="4" w:tplc="798A09E8" w:tentative="1">
      <w:start w:val="1"/>
      <w:numFmt w:val="bullet"/>
      <w:lvlText w:val="•"/>
      <w:lvlJc w:val="left"/>
      <w:pPr>
        <w:tabs>
          <w:tab w:val="num" w:pos="3600"/>
        </w:tabs>
        <w:ind w:left="3600" w:hanging="360"/>
      </w:pPr>
      <w:rPr>
        <w:rFonts w:ascii="Arial" w:hAnsi="Arial" w:hint="default"/>
      </w:rPr>
    </w:lvl>
    <w:lvl w:ilvl="5" w:tplc="45C4E140" w:tentative="1">
      <w:start w:val="1"/>
      <w:numFmt w:val="bullet"/>
      <w:lvlText w:val="•"/>
      <w:lvlJc w:val="left"/>
      <w:pPr>
        <w:tabs>
          <w:tab w:val="num" w:pos="4320"/>
        </w:tabs>
        <w:ind w:left="4320" w:hanging="360"/>
      </w:pPr>
      <w:rPr>
        <w:rFonts w:ascii="Arial" w:hAnsi="Arial" w:hint="default"/>
      </w:rPr>
    </w:lvl>
    <w:lvl w:ilvl="6" w:tplc="D8E09C6E" w:tentative="1">
      <w:start w:val="1"/>
      <w:numFmt w:val="bullet"/>
      <w:lvlText w:val="•"/>
      <w:lvlJc w:val="left"/>
      <w:pPr>
        <w:tabs>
          <w:tab w:val="num" w:pos="5040"/>
        </w:tabs>
        <w:ind w:left="5040" w:hanging="360"/>
      </w:pPr>
      <w:rPr>
        <w:rFonts w:ascii="Arial" w:hAnsi="Arial" w:hint="default"/>
      </w:rPr>
    </w:lvl>
    <w:lvl w:ilvl="7" w:tplc="B7B2BA2A" w:tentative="1">
      <w:start w:val="1"/>
      <w:numFmt w:val="bullet"/>
      <w:lvlText w:val="•"/>
      <w:lvlJc w:val="left"/>
      <w:pPr>
        <w:tabs>
          <w:tab w:val="num" w:pos="5760"/>
        </w:tabs>
        <w:ind w:left="5760" w:hanging="360"/>
      </w:pPr>
      <w:rPr>
        <w:rFonts w:ascii="Arial" w:hAnsi="Arial" w:hint="default"/>
      </w:rPr>
    </w:lvl>
    <w:lvl w:ilvl="8" w:tplc="6EA64C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84D68"/>
    <w:multiLevelType w:val="multilevel"/>
    <w:tmpl w:val="D7EE7C76"/>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9E86008"/>
    <w:multiLevelType w:val="hybridMultilevel"/>
    <w:tmpl w:val="CC461B18"/>
    <w:lvl w:ilvl="0" w:tplc="BA0ABCD2">
      <w:start w:val="1"/>
      <w:numFmt w:val="low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1A1C6D"/>
    <w:multiLevelType w:val="hybridMultilevel"/>
    <w:tmpl w:val="5E32F72E"/>
    <w:lvl w:ilvl="0" w:tplc="6C48A176">
      <w:start w:val="1"/>
      <w:numFmt w:val="bullet"/>
      <w:lvlText w:val="•"/>
      <w:lvlJc w:val="left"/>
      <w:pPr>
        <w:tabs>
          <w:tab w:val="num" w:pos="720"/>
        </w:tabs>
        <w:ind w:left="720" w:hanging="360"/>
      </w:pPr>
      <w:rPr>
        <w:rFonts w:ascii="Arial" w:hAnsi="Arial" w:hint="default"/>
      </w:rPr>
    </w:lvl>
    <w:lvl w:ilvl="1" w:tplc="C5142D2A">
      <w:start w:val="1"/>
      <w:numFmt w:val="bullet"/>
      <w:lvlText w:val="•"/>
      <w:lvlJc w:val="left"/>
      <w:pPr>
        <w:tabs>
          <w:tab w:val="num" w:pos="1440"/>
        </w:tabs>
        <w:ind w:left="1440" w:hanging="360"/>
      </w:pPr>
      <w:rPr>
        <w:rFonts w:ascii="Arial" w:hAnsi="Arial" w:hint="default"/>
      </w:rPr>
    </w:lvl>
    <w:lvl w:ilvl="2" w:tplc="FCC82964" w:tentative="1">
      <w:start w:val="1"/>
      <w:numFmt w:val="bullet"/>
      <w:lvlText w:val="•"/>
      <w:lvlJc w:val="left"/>
      <w:pPr>
        <w:tabs>
          <w:tab w:val="num" w:pos="2160"/>
        </w:tabs>
        <w:ind w:left="2160" w:hanging="360"/>
      </w:pPr>
      <w:rPr>
        <w:rFonts w:ascii="Arial" w:hAnsi="Arial" w:hint="default"/>
      </w:rPr>
    </w:lvl>
    <w:lvl w:ilvl="3" w:tplc="2BAA68CE" w:tentative="1">
      <w:start w:val="1"/>
      <w:numFmt w:val="bullet"/>
      <w:lvlText w:val="•"/>
      <w:lvlJc w:val="left"/>
      <w:pPr>
        <w:tabs>
          <w:tab w:val="num" w:pos="2880"/>
        </w:tabs>
        <w:ind w:left="2880" w:hanging="360"/>
      </w:pPr>
      <w:rPr>
        <w:rFonts w:ascii="Arial" w:hAnsi="Arial" w:hint="default"/>
      </w:rPr>
    </w:lvl>
    <w:lvl w:ilvl="4" w:tplc="3918B47A" w:tentative="1">
      <w:start w:val="1"/>
      <w:numFmt w:val="bullet"/>
      <w:lvlText w:val="•"/>
      <w:lvlJc w:val="left"/>
      <w:pPr>
        <w:tabs>
          <w:tab w:val="num" w:pos="3600"/>
        </w:tabs>
        <w:ind w:left="3600" w:hanging="360"/>
      </w:pPr>
      <w:rPr>
        <w:rFonts w:ascii="Arial" w:hAnsi="Arial" w:hint="default"/>
      </w:rPr>
    </w:lvl>
    <w:lvl w:ilvl="5" w:tplc="299466A8" w:tentative="1">
      <w:start w:val="1"/>
      <w:numFmt w:val="bullet"/>
      <w:lvlText w:val="•"/>
      <w:lvlJc w:val="left"/>
      <w:pPr>
        <w:tabs>
          <w:tab w:val="num" w:pos="4320"/>
        </w:tabs>
        <w:ind w:left="4320" w:hanging="360"/>
      </w:pPr>
      <w:rPr>
        <w:rFonts w:ascii="Arial" w:hAnsi="Arial" w:hint="default"/>
      </w:rPr>
    </w:lvl>
    <w:lvl w:ilvl="6" w:tplc="9D6CBCB0" w:tentative="1">
      <w:start w:val="1"/>
      <w:numFmt w:val="bullet"/>
      <w:lvlText w:val="•"/>
      <w:lvlJc w:val="left"/>
      <w:pPr>
        <w:tabs>
          <w:tab w:val="num" w:pos="5040"/>
        </w:tabs>
        <w:ind w:left="5040" w:hanging="360"/>
      </w:pPr>
      <w:rPr>
        <w:rFonts w:ascii="Arial" w:hAnsi="Arial" w:hint="default"/>
      </w:rPr>
    </w:lvl>
    <w:lvl w:ilvl="7" w:tplc="299A4B82" w:tentative="1">
      <w:start w:val="1"/>
      <w:numFmt w:val="bullet"/>
      <w:lvlText w:val="•"/>
      <w:lvlJc w:val="left"/>
      <w:pPr>
        <w:tabs>
          <w:tab w:val="num" w:pos="5760"/>
        </w:tabs>
        <w:ind w:left="5760" w:hanging="360"/>
      </w:pPr>
      <w:rPr>
        <w:rFonts w:ascii="Arial" w:hAnsi="Arial" w:hint="default"/>
      </w:rPr>
    </w:lvl>
    <w:lvl w:ilvl="8" w:tplc="0B9A61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8A33AC"/>
    <w:multiLevelType w:val="hybridMultilevel"/>
    <w:tmpl w:val="09A65FB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45406072"/>
    <w:multiLevelType w:val="hybridMultilevel"/>
    <w:tmpl w:val="98DA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A6D90"/>
    <w:multiLevelType w:val="hybridMultilevel"/>
    <w:tmpl w:val="0218B8FC"/>
    <w:lvl w:ilvl="0" w:tplc="6FE87A5E">
      <w:start w:val="1"/>
      <w:numFmt w:val="bullet"/>
      <w:lvlText w:val=""/>
      <w:lvlJc w:val="left"/>
      <w:pPr>
        <w:tabs>
          <w:tab w:val="num" w:pos="936"/>
        </w:tabs>
        <w:ind w:left="1296" w:hanging="57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477E7E98"/>
    <w:multiLevelType w:val="hybridMultilevel"/>
    <w:tmpl w:val="B6DE15D6"/>
    <w:lvl w:ilvl="0" w:tplc="2920FA58">
      <w:start w:val="1"/>
      <w:numFmt w:val="bullet"/>
      <w:lvlText w:val="•"/>
      <w:lvlJc w:val="left"/>
      <w:pPr>
        <w:tabs>
          <w:tab w:val="num" w:pos="720"/>
        </w:tabs>
        <w:ind w:left="720" w:hanging="360"/>
      </w:pPr>
      <w:rPr>
        <w:rFonts w:ascii="Arial" w:hAnsi="Arial" w:hint="default"/>
      </w:rPr>
    </w:lvl>
    <w:lvl w:ilvl="1" w:tplc="9C561C44">
      <w:start w:val="1"/>
      <w:numFmt w:val="bullet"/>
      <w:lvlText w:val="•"/>
      <w:lvlJc w:val="left"/>
      <w:pPr>
        <w:tabs>
          <w:tab w:val="num" w:pos="1440"/>
        </w:tabs>
        <w:ind w:left="1440" w:hanging="360"/>
      </w:pPr>
      <w:rPr>
        <w:rFonts w:ascii="Arial" w:hAnsi="Arial" w:hint="default"/>
      </w:rPr>
    </w:lvl>
    <w:lvl w:ilvl="2" w:tplc="C17C65DE" w:tentative="1">
      <w:start w:val="1"/>
      <w:numFmt w:val="bullet"/>
      <w:lvlText w:val="•"/>
      <w:lvlJc w:val="left"/>
      <w:pPr>
        <w:tabs>
          <w:tab w:val="num" w:pos="2160"/>
        </w:tabs>
        <w:ind w:left="2160" w:hanging="360"/>
      </w:pPr>
      <w:rPr>
        <w:rFonts w:ascii="Arial" w:hAnsi="Arial" w:hint="default"/>
      </w:rPr>
    </w:lvl>
    <w:lvl w:ilvl="3" w:tplc="7F30EBE6" w:tentative="1">
      <w:start w:val="1"/>
      <w:numFmt w:val="bullet"/>
      <w:lvlText w:val="•"/>
      <w:lvlJc w:val="left"/>
      <w:pPr>
        <w:tabs>
          <w:tab w:val="num" w:pos="2880"/>
        </w:tabs>
        <w:ind w:left="2880" w:hanging="360"/>
      </w:pPr>
      <w:rPr>
        <w:rFonts w:ascii="Arial" w:hAnsi="Arial" w:hint="default"/>
      </w:rPr>
    </w:lvl>
    <w:lvl w:ilvl="4" w:tplc="8C96F68E" w:tentative="1">
      <w:start w:val="1"/>
      <w:numFmt w:val="bullet"/>
      <w:lvlText w:val="•"/>
      <w:lvlJc w:val="left"/>
      <w:pPr>
        <w:tabs>
          <w:tab w:val="num" w:pos="3600"/>
        </w:tabs>
        <w:ind w:left="3600" w:hanging="360"/>
      </w:pPr>
      <w:rPr>
        <w:rFonts w:ascii="Arial" w:hAnsi="Arial" w:hint="default"/>
      </w:rPr>
    </w:lvl>
    <w:lvl w:ilvl="5" w:tplc="5CAEDE7A" w:tentative="1">
      <w:start w:val="1"/>
      <w:numFmt w:val="bullet"/>
      <w:lvlText w:val="•"/>
      <w:lvlJc w:val="left"/>
      <w:pPr>
        <w:tabs>
          <w:tab w:val="num" w:pos="4320"/>
        </w:tabs>
        <w:ind w:left="4320" w:hanging="360"/>
      </w:pPr>
      <w:rPr>
        <w:rFonts w:ascii="Arial" w:hAnsi="Arial" w:hint="default"/>
      </w:rPr>
    </w:lvl>
    <w:lvl w:ilvl="6" w:tplc="69C05CFE" w:tentative="1">
      <w:start w:val="1"/>
      <w:numFmt w:val="bullet"/>
      <w:lvlText w:val="•"/>
      <w:lvlJc w:val="left"/>
      <w:pPr>
        <w:tabs>
          <w:tab w:val="num" w:pos="5040"/>
        </w:tabs>
        <w:ind w:left="5040" w:hanging="360"/>
      </w:pPr>
      <w:rPr>
        <w:rFonts w:ascii="Arial" w:hAnsi="Arial" w:hint="default"/>
      </w:rPr>
    </w:lvl>
    <w:lvl w:ilvl="7" w:tplc="D14ABCD0" w:tentative="1">
      <w:start w:val="1"/>
      <w:numFmt w:val="bullet"/>
      <w:lvlText w:val="•"/>
      <w:lvlJc w:val="left"/>
      <w:pPr>
        <w:tabs>
          <w:tab w:val="num" w:pos="5760"/>
        </w:tabs>
        <w:ind w:left="5760" w:hanging="360"/>
      </w:pPr>
      <w:rPr>
        <w:rFonts w:ascii="Arial" w:hAnsi="Arial" w:hint="default"/>
      </w:rPr>
    </w:lvl>
    <w:lvl w:ilvl="8" w:tplc="FCC6E6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4550FD"/>
    <w:multiLevelType w:val="hybridMultilevel"/>
    <w:tmpl w:val="661C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04479"/>
    <w:multiLevelType w:val="hybridMultilevel"/>
    <w:tmpl w:val="55065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07360"/>
    <w:multiLevelType w:val="hybridMultilevel"/>
    <w:tmpl w:val="FA7E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92348"/>
    <w:multiLevelType w:val="hybridMultilevel"/>
    <w:tmpl w:val="518617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3C60912"/>
    <w:multiLevelType w:val="hybridMultilevel"/>
    <w:tmpl w:val="2428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7371E"/>
    <w:multiLevelType w:val="hybridMultilevel"/>
    <w:tmpl w:val="E68A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43BD3"/>
    <w:multiLevelType w:val="hybridMultilevel"/>
    <w:tmpl w:val="B672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05262"/>
    <w:multiLevelType w:val="hybridMultilevel"/>
    <w:tmpl w:val="702491B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E507E0E"/>
    <w:multiLevelType w:val="hybridMultilevel"/>
    <w:tmpl w:val="610A33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07CE0"/>
    <w:multiLevelType w:val="hybridMultilevel"/>
    <w:tmpl w:val="E8CED4A4"/>
    <w:lvl w:ilvl="0" w:tplc="53069C84">
      <w:start w:val="1"/>
      <w:numFmt w:val="bullet"/>
      <w:lvlText w:val="•"/>
      <w:lvlJc w:val="left"/>
      <w:pPr>
        <w:tabs>
          <w:tab w:val="num" w:pos="720"/>
        </w:tabs>
        <w:ind w:left="720" w:hanging="360"/>
      </w:pPr>
      <w:rPr>
        <w:rFonts w:ascii="Arial" w:hAnsi="Arial" w:hint="default"/>
      </w:rPr>
    </w:lvl>
    <w:lvl w:ilvl="1" w:tplc="FBEE9BC0">
      <w:start w:val="1"/>
      <w:numFmt w:val="bullet"/>
      <w:lvlText w:val="•"/>
      <w:lvlJc w:val="left"/>
      <w:pPr>
        <w:tabs>
          <w:tab w:val="num" w:pos="1440"/>
        </w:tabs>
        <w:ind w:left="1440" w:hanging="360"/>
      </w:pPr>
      <w:rPr>
        <w:rFonts w:ascii="Arial" w:hAnsi="Arial" w:hint="default"/>
      </w:rPr>
    </w:lvl>
    <w:lvl w:ilvl="2" w:tplc="C018CF56" w:tentative="1">
      <w:start w:val="1"/>
      <w:numFmt w:val="bullet"/>
      <w:lvlText w:val="•"/>
      <w:lvlJc w:val="left"/>
      <w:pPr>
        <w:tabs>
          <w:tab w:val="num" w:pos="2160"/>
        </w:tabs>
        <w:ind w:left="2160" w:hanging="360"/>
      </w:pPr>
      <w:rPr>
        <w:rFonts w:ascii="Arial" w:hAnsi="Arial" w:hint="default"/>
      </w:rPr>
    </w:lvl>
    <w:lvl w:ilvl="3" w:tplc="A48C107A">
      <w:start w:val="1471"/>
      <w:numFmt w:val="bullet"/>
      <w:lvlText w:val="o"/>
      <w:lvlJc w:val="left"/>
      <w:pPr>
        <w:tabs>
          <w:tab w:val="num" w:pos="2880"/>
        </w:tabs>
        <w:ind w:left="2880" w:hanging="360"/>
      </w:pPr>
      <w:rPr>
        <w:rFonts w:ascii="Courier New" w:hAnsi="Courier New" w:hint="default"/>
      </w:rPr>
    </w:lvl>
    <w:lvl w:ilvl="4" w:tplc="5BFEB256" w:tentative="1">
      <w:start w:val="1"/>
      <w:numFmt w:val="bullet"/>
      <w:lvlText w:val="•"/>
      <w:lvlJc w:val="left"/>
      <w:pPr>
        <w:tabs>
          <w:tab w:val="num" w:pos="3600"/>
        </w:tabs>
        <w:ind w:left="3600" w:hanging="360"/>
      </w:pPr>
      <w:rPr>
        <w:rFonts w:ascii="Arial" w:hAnsi="Arial" w:hint="default"/>
      </w:rPr>
    </w:lvl>
    <w:lvl w:ilvl="5" w:tplc="0D968C12" w:tentative="1">
      <w:start w:val="1"/>
      <w:numFmt w:val="bullet"/>
      <w:lvlText w:val="•"/>
      <w:lvlJc w:val="left"/>
      <w:pPr>
        <w:tabs>
          <w:tab w:val="num" w:pos="4320"/>
        </w:tabs>
        <w:ind w:left="4320" w:hanging="360"/>
      </w:pPr>
      <w:rPr>
        <w:rFonts w:ascii="Arial" w:hAnsi="Arial" w:hint="default"/>
      </w:rPr>
    </w:lvl>
    <w:lvl w:ilvl="6" w:tplc="0DCE1C8A" w:tentative="1">
      <w:start w:val="1"/>
      <w:numFmt w:val="bullet"/>
      <w:lvlText w:val="•"/>
      <w:lvlJc w:val="left"/>
      <w:pPr>
        <w:tabs>
          <w:tab w:val="num" w:pos="5040"/>
        </w:tabs>
        <w:ind w:left="5040" w:hanging="360"/>
      </w:pPr>
      <w:rPr>
        <w:rFonts w:ascii="Arial" w:hAnsi="Arial" w:hint="default"/>
      </w:rPr>
    </w:lvl>
    <w:lvl w:ilvl="7" w:tplc="552A84C0" w:tentative="1">
      <w:start w:val="1"/>
      <w:numFmt w:val="bullet"/>
      <w:lvlText w:val="•"/>
      <w:lvlJc w:val="left"/>
      <w:pPr>
        <w:tabs>
          <w:tab w:val="num" w:pos="5760"/>
        </w:tabs>
        <w:ind w:left="5760" w:hanging="360"/>
      </w:pPr>
      <w:rPr>
        <w:rFonts w:ascii="Arial" w:hAnsi="Arial" w:hint="default"/>
      </w:rPr>
    </w:lvl>
    <w:lvl w:ilvl="8" w:tplc="46BADFE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D32DE0"/>
    <w:multiLevelType w:val="hybridMultilevel"/>
    <w:tmpl w:val="BF443FB4"/>
    <w:lvl w:ilvl="0" w:tplc="5E9ABD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96677B"/>
    <w:multiLevelType w:val="hybridMultilevel"/>
    <w:tmpl w:val="6C86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46033"/>
    <w:multiLevelType w:val="multilevel"/>
    <w:tmpl w:val="85C8CD1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6BC7773B"/>
    <w:multiLevelType w:val="hybridMultilevel"/>
    <w:tmpl w:val="51AA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B62B1"/>
    <w:multiLevelType w:val="hybridMultilevel"/>
    <w:tmpl w:val="32B6D5B6"/>
    <w:lvl w:ilvl="0" w:tplc="51C45220">
      <w:start w:val="1"/>
      <w:numFmt w:val="decimal"/>
      <w:lvlText w:val="%1."/>
      <w:lvlJc w:val="left"/>
      <w:pPr>
        <w:ind w:left="72" w:hanging="7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732CE"/>
    <w:multiLevelType w:val="hybridMultilevel"/>
    <w:tmpl w:val="AEA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808D6"/>
    <w:multiLevelType w:val="hybridMultilevel"/>
    <w:tmpl w:val="D0782E22"/>
    <w:lvl w:ilvl="0" w:tplc="3E886DDA">
      <w:start w:val="1"/>
      <w:numFmt w:val="decimal"/>
      <w:lvlText w:val="%1."/>
      <w:lvlJc w:val="left"/>
      <w:pPr>
        <w:ind w:left="144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344F5E"/>
    <w:multiLevelType w:val="multilevel"/>
    <w:tmpl w:val="F8F43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256010">
    <w:abstractNumId w:val="3"/>
  </w:num>
  <w:num w:numId="2" w16cid:durableId="1726446856">
    <w:abstractNumId w:val="9"/>
  </w:num>
  <w:num w:numId="3" w16cid:durableId="656108549">
    <w:abstractNumId w:val="29"/>
  </w:num>
  <w:num w:numId="4" w16cid:durableId="287399710">
    <w:abstractNumId w:val="21"/>
  </w:num>
  <w:num w:numId="5" w16cid:durableId="851839217">
    <w:abstractNumId w:val="31"/>
  </w:num>
  <w:num w:numId="6" w16cid:durableId="154565515">
    <w:abstractNumId w:val="28"/>
  </w:num>
  <w:num w:numId="7" w16cid:durableId="1248657924">
    <w:abstractNumId w:val="14"/>
  </w:num>
  <w:num w:numId="8" w16cid:durableId="21367172">
    <w:abstractNumId w:val="13"/>
  </w:num>
  <w:num w:numId="9" w16cid:durableId="880944941">
    <w:abstractNumId w:val="27"/>
  </w:num>
  <w:num w:numId="10" w16cid:durableId="249238896">
    <w:abstractNumId w:val="2"/>
  </w:num>
  <w:num w:numId="11" w16cid:durableId="302777296">
    <w:abstractNumId w:val="16"/>
  </w:num>
  <w:num w:numId="12" w16cid:durableId="667680845">
    <w:abstractNumId w:val="18"/>
  </w:num>
  <w:num w:numId="13" w16cid:durableId="303900990">
    <w:abstractNumId w:val="7"/>
  </w:num>
  <w:num w:numId="14" w16cid:durableId="2086493680">
    <w:abstractNumId w:val="23"/>
  </w:num>
  <w:num w:numId="15" w16cid:durableId="1126318030">
    <w:abstractNumId w:val="4"/>
  </w:num>
  <w:num w:numId="16" w16cid:durableId="45493870">
    <w:abstractNumId w:val="20"/>
  </w:num>
  <w:num w:numId="17" w16cid:durableId="4476867">
    <w:abstractNumId w:val="6"/>
  </w:num>
  <w:num w:numId="18" w16cid:durableId="1331828457">
    <w:abstractNumId w:val="5"/>
  </w:num>
  <w:num w:numId="19" w16cid:durableId="311443378">
    <w:abstractNumId w:val="32"/>
  </w:num>
  <w:num w:numId="20" w16cid:durableId="160854079">
    <w:abstractNumId w:val="15"/>
  </w:num>
  <w:num w:numId="21" w16cid:durableId="1102918774">
    <w:abstractNumId w:val="0"/>
  </w:num>
  <w:num w:numId="22" w16cid:durableId="849564221">
    <w:abstractNumId w:val="25"/>
  </w:num>
  <w:num w:numId="23" w16cid:durableId="1220165368">
    <w:abstractNumId w:val="11"/>
  </w:num>
  <w:num w:numId="24" w16cid:durableId="544877188">
    <w:abstractNumId w:val="17"/>
  </w:num>
  <w:num w:numId="25" w16cid:durableId="92171951">
    <w:abstractNumId w:val="22"/>
  </w:num>
  <w:num w:numId="26" w16cid:durableId="207230504">
    <w:abstractNumId w:val="19"/>
  </w:num>
  <w:num w:numId="27" w16cid:durableId="1147866739">
    <w:abstractNumId w:val="26"/>
  </w:num>
  <w:num w:numId="28" w16cid:durableId="789010978">
    <w:abstractNumId w:val="30"/>
  </w:num>
  <w:num w:numId="29" w16cid:durableId="268046012">
    <w:abstractNumId w:val="10"/>
  </w:num>
  <w:num w:numId="30" w16cid:durableId="382757797">
    <w:abstractNumId w:val="1"/>
  </w:num>
  <w:num w:numId="31" w16cid:durableId="1586455425">
    <w:abstractNumId w:val="8"/>
  </w:num>
  <w:num w:numId="32" w16cid:durableId="869025698">
    <w:abstractNumId w:val="12"/>
  </w:num>
  <w:num w:numId="33" w16cid:durableId="662977154">
    <w:abstractNumId w:val="24"/>
  </w:num>
  <w:num w:numId="34" w16cid:durableId="510003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EC"/>
    <w:rsid w:val="000038EC"/>
    <w:rsid w:val="00041D00"/>
    <w:rsid w:val="000525F6"/>
    <w:rsid w:val="000603F2"/>
    <w:rsid w:val="00070241"/>
    <w:rsid w:val="0008326D"/>
    <w:rsid w:val="000D5867"/>
    <w:rsid w:val="000E6833"/>
    <w:rsid w:val="000F4D15"/>
    <w:rsid w:val="00115D90"/>
    <w:rsid w:val="00116B17"/>
    <w:rsid w:val="00126663"/>
    <w:rsid w:val="00171703"/>
    <w:rsid w:val="001B0BC2"/>
    <w:rsid w:val="001C757F"/>
    <w:rsid w:val="00246A05"/>
    <w:rsid w:val="002559D4"/>
    <w:rsid w:val="002D041E"/>
    <w:rsid w:val="002E619C"/>
    <w:rsid w:val="00300A2F"/>
    <w:rsid w:val="00320AEA"/>
    <w:rsid w:val="0035386D"/>
    <w:rsid w:val="0035620D"/>
    <w:rsid w:val="00391A95"/>
    <w:rsid w:val="00415484"/>
    <w:rsid w:val="004543B0"/>
    <w:rsid w:val="00493956"/>
    <w:rsid w:val="004E158C"/>
    <w:rsid w:val="005024AF"/>
    <w:rsid w:val="005753AA"/>
    <w:rsid w:val="00591EA4"/>
    <w:rsid w:val="005A1F99"/>
    <w:rsid w:val="005A2E53"/>
    <w:rsid w:val="005D40E5"/>
    <w:rsid w:val="00650254"/>
    <w:rsid w:val="006573DF"/>
    <w:rsid w:val="00667358"/>
    <w:rsid w:val="00674069"/>
    <w:rsid w:val="0068134F"/>
    <w:rsid w:val="00681390"/>
    <w:rsid w:val="006845BB"/>
    <w:rsid w:val="00687D34"/>
    <w:rsid w:val="006960C1"/>
    <w:rsid w:val="00715FAD"/>
    <w:rsid w:val="00724BD5"/>
    <w:rsid w:val="00746D32"/>
    <w:rsid w:val="007C3BFF"/>
    <w:rsid w:val="007F46CB"/>
    <w:rsid w:val="008075D4"/>
    <w:rsid w:val="008246BE"/>
    <w:rsid w:val="00826341"/>
    <w:rsid w:val="008277D1"/>
    <w:rsid w:val="00876672"/>
    <w:rsid w:val="00876B4D"/>
    <w:rsid w:val="0089287D"/>
    <w:rsid w:val="008B6B74"/>
    <w:rsid w:val="008F7FB3"/>
    <w:rsid w:val="009447A1"/>
    <w:rsid w:val="00947A0F"/>
    <w:rsid w:val="00960041"/>
    <w:rsid w:val="00963312"/>
    <w:rsid w:val="00973966"/>
    <w:rsid w:val="009A491C"/>
    <w:rsid w:val="009A5F5D"/>
    <w:rsid w:val="009E2B9B"/>
    <w:rsid w:val="00A06EFC"/>
    <w:rsid w:val="00AB30C8"/>
    <w:rsid w:val="00B372FA"/>
    <w:rsid w:val="00B40795"/>
    <w:rsid w:val="00B420A4"/>
    <w:rsid w:val="00BC30C1"/>
    <w:rsid w:val="00C01CF0"/>
    <w:rsid w:val="00C0581F"/>
    <w:rsid w:val="00C34B5E"/>
    <w:rsid w:val="00C47870"/>
    <w:rsid w:val="00C85877"/>
    <w:rsid w:val="00CB1DC1"/>
    <w:rsid w:val="00CD3741"/>
    <w:rsid w:val="00D90A95"/>
    <w:rsid w:val="00DA1C50"/>
    <w:rsid w:val="00DC4063"/>
    <w:rsid w:val="00E62D44"/>
    <w:rsid w:val="00E64300"/>
    <w:rsid w:val="00ED4604"/>
    <w:rsid w:val="00F1222E"/>
    <w:rsid w:val="00F2313E"/>
    <w:rsid w:val="00F23BAE"/>
    <w:rsid w:val="00F9667A"/>
    <w:rsid w:val="00FD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B7AA"/>
  <w15:chartTrackingRefBased/>
  <w15:docId w15:val="{023AA7B8-69C1-0746-96BD-EEA394B2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038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38EC"/>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038EC"/>
    <w:rPr>
      <w:rFonts w:ascii="Times New Roman" w:eastAsia="Times New Roman" w:hAnsi="Times New Roman" w:cs="Times New Roman"/>
      <w:lang w:val="x-none" w:eastAsia="x-none"/>
    </w:rPr>
  </w:style>
  <w:style w:type="character" w:styleId="PageNumber">
    <w:name w:val="page number"/>
    <w:basedOn w:val="DefaultParagraphFont"/>
    <w:rsid w:val="000038EC"/>
  </w:style>
  <w:style w:type="paragraph" w:customStyle="1" w:styleId="MediumGrid21">
    <w:name w:val="Medium Grid 21"/>
    <w:uiPriority w:val="1"/>
    <w:qFormat/>
    <w:rsid w:val="000038EC"/>
    <w:rPr>
      <w:rFonts w:ascii="Calibri" w:eastAsia="Calibri" w:hAnsi="Calibri" w:cs="Times New Roman"/>
      <w:sz w:val="22"/>
      <w:szCs w:val="22"/>
    </w:rPr>
  </w:style>
  <w:style w:type="paragraph" w:styleId="ListParagraph">
    <w:name w:val="List Paragraph"/>
    <w:basedOn w:val="Normal"/>
    <w:uiPriority w:val="34"/>
    <w:qFormat/>
    <w:rsid w:val="000038EC"/>
    <w:pPr>
      <w:ind w:left="720"/>
      <w:contextualSpacing/>
    </w:pPr>
  </w:style>
  <w:style w:type="paragraph" w:styleId="Header">
    <w:name w:val="header"/>
    <w:basedOn w:val="Normal"/>
    <w:link w:val="HeaderChar"/>
    <w:uiPriority w:val="99"/>
    <w:unhideWhenUsed/>
    <w:rsid w:val="000038EC"/>
    <w:pPr>
      <w:tabs>
        <w:tab w:val="center" w:pos="4680"/>
        <w:tab w:val="right" w:pos="9360"/>
      </w:tabs>
    </w:pPr>
  </w:style>
  <w:style w:type="character" w:customStyle="1" w:styleId="HeaderChar">
    <w:name w:val="Header Char"/>
    <w:basedOn w:val="DefaultParagraphFont"/>
    <w:link w:val="Header"/>
    <w:uiPriority w:val="99"/>
    <w:rsid w:val="000038EC"/>
    <w:rPr>
      <w:rFonts w:ascii="Times New Roman" w:eastAsia="Times New Roman" w:hAnsi="Times New Roman" w:cs="Times New Roman"/>
    </w:rPr>
  </w:style>
  <w:style w:type="paragraph" w:styleId="BodyText">
    <w:name w:val="Body Text"/>
    <w:basedOn w:val="Normal"/>
    <w:link w:val="BodyTextChar"/>
    <w:uiPriority w:val="1"/>
    <w:semiHidden/>
    <w:unhideWhenUsed/>
    <w:qFormat/>
    <w:rsid w:val="000038EC"/>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semiHidden/>
    <w:rsid w:val="000038EC"/>
    <w:rPr>
      <w:rFonts w:ascii="Arial" w:eastAsia="Arial" w:hAnsi="Arial" w:cs="Arial"/>
      <w:sz w:val="20"/>
      <w:szCs w:val="20"/>
    </w:rPr>
  </w:style>
  <w:style w:type="table" w:styleId="TableGrid">
    <w:name w:val="Table Grid"/>
    <w:basedOn w:val="TableNormal"/>
    <w:uiPriority w:val="39"/>
    <w:rsid w:val="00684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222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1222E"/>
    <w:rPr>
      <w:sz w:val="16"/>
      <w:szCs w:val="16"/>
    </w:rPr>
  </w:style>
  <w:style w:type="paragraph" w:styleId="CommentText">
    <w:name w:val="annotation text"/>
    <w:basedOn w:val="Normal"/>
    <w:link w:val="CommentTextChar"/>
    <w:uiPriority w:val="99"/>
    <w:unhideWhenUsed/>
    <w:rsid w:val="00F1222E"/>
    <w:rPr>
      <w:sz w:val="20"/>
      <w:szCs w:val="20"/>
    </w:rPr>
  </w:style>
  <w:style w:type="character" w:customStyle="1" w:styleId="CommentTextChar">
    <w:name w:val="Comment Text Char"/>
    <w:basedOn w:val="DefaultParagraphFont"/>
    <w:link w:val="CommentText"/>
    <w:uiPriority w:val="99"/>
    <w:rsid w:val="00F122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22E"/>
    <w:rPr>
      <w:b/>
      <w:bCs/>
    </w:rPr>
  </w:style>
  <w:style w:type="character" w:customStyle="1" w:styleId="CommentSubjectChar">
    <w:name w:val="Comment Subject Char"/>
    <w:basedOn w:val="CommentTextChar"/>
    <w:link w:val="CommentSubject"/>
    <w:uiPriority w:val="99"/>
    <w:semiHidden/>
    <w:rsid w:val="00F122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5518">
      <w:bodyDiv w:val="1"/>
      <w:marLeft w:val="0"/>
      <w:marRight w:val="0"/>
      <w:marTop w:val="0"/>
      <w:marBottom w:val="0"/>
      <w:divBdr>
        <w:top w:val="none" w:sz="0" w:space="0" w:color="auto"/>
        <w:left w:val="none" w:sz="0" w:space="0" w:color="auto"/>
        <w:bottom w:val="none" w:sz="0" w:space="0" w:color="auto"/>
        <w:right w:val="none" w:sz="0" w:space="0" w:color="auto"/>
      </w:divBdr>
      <w:divsChild>
        <w:div w:id="1343774955">
          <w:marLeft w:val="1166"/>
          <w:marRight w:val="0"/>
          <w:marTop w:val="80"/>
          <w:marBottom w:val="200"/>
          <w:divBdr>
            <w:top w:val="none" w:sz="0" w:space="0" w:color="auto"/>
            <w:left w:val="none" w:sz="0" w:space="0" w:color="auto"/>
            <w:bottom w:val="none" w:sz="0" w:space="0" w:color="auto"/>
            <w:right w:val="none" w:sz="0" w:space="0" w:color="auto"/>
          </w:divBdr>
        </w:div>
        <w:div w:id="1784104672">
          <w:marLeft w:val="1166"/>
          <w:marRight w:val="0"/>
          <w:marTop w:val="80"/>
          <w:marBottom w:val="200"/>
          <w:divBdr>
            <w:top w:val="none" w:sz="0" w:space="0" w:color="auto"/>
            <w:left w:val="none" w:sz="0" w:space="0" w:color="auto"/>
            <w:bottom w:val="none" w:sz="0" w:space="0" w:color="auto"/>
            <w:right w:val="none" w:sz="0" w:space="0" w:color="auto"/>
          </w:divBdr>
        </w:div>
        <w:div w:id="177932309">
          <w:marLeft w:val="1166"/>
          <w:marRight w:val="0"/>
          <w:marTop w:val="80"/>
          <w:marBottom w:val="200"/>
          <w:divBdr>
            <w:top w:val="none" w:sz="0" w:space="0" w:color="auto"/>
            <w:left w:val="none" w:sz="0" w:space="0" w:color="auto"/>
            <w:bottom w:val="none" w:sz="0" w:space="0" w:color="auto"/>
            <w:right w:val="none" w:sz="0" w:space="0" w:color="auto"/>
          </w:divBdr>
        </w:div>
        <w:div w:id="1280407430">
          <w:marLeft w:val="1166"/>
          <w:marRight w:val="0"/>
          <w:marTop w:val="80"/>
          <w:marBottom w:val="200"/>
          <w:divBdr>
            <w:top w:val="none" w:sz="0" w:space="0" w:color="auto"/>
            <w:left w:val="none" w:sz="0" w:space="0" w:color="auto"/>
            <w:bottom w:val="none" w:sz="0" w:space="0" w:color="auto"/>
            <w:right w:val="none" w:sz="0" w:space="0" w:color="auto"/>
          </w:divBdr>
        </w:div>
      </w:divsChild>
    </w:div>
    <w:div w:id="94635047">
      <w:bodyDiv w:val="1"/>
      <w:marLeft w:val="0"/>
      <w:marRight w:val="0"/>
      <w:marTop w:val="0"/>
      <w:marBottom w:val="0"/>
      <w:divBdr>
        <w:top w:val="none" w:sz="0" w:space="0" w:color="auto"/>
        <w:left w:val="none" w:sz="0" w:space="0" w:color="auto"/>
        <w:bottom w:val="none" w:sz="0" w:space="0" w:color="auto"/>
        <w:right w:val="none" w:sz="0" w:space="0" w:color="auto"/>
      </w:divBdr>
      <w:divsChild>
        <w:div w:id="1662466368">
          <w:marLeft w:val="1166"/>
          <w:marRight w:val="0"/>
          <w:marTop w:val="80"/>
          <w:marBottom w:val="200"/>
          <w:divBdr>
            <w:top w:val="none" w:sz="0" w:space="0" w:color="auto"/>
            <w:left w:val="none" w:sz="0" w:space="0" w:color="auto"/>
            <w:bottom w:val="none" w:sz="0" w:space="0" w:color="auto"/>
            <w:right w:val="none" w:sz="0" w:space="0" w:color="auto"/>
          </w:divBdr>
        </w:div>
        <w:div w:id="341711540">
          <w:marLeft w:val="1166"/>
          <w:marRight w:val="0"/>
          <w:marTop w:val="80"/>
          <w:marBottom w:val="200"/>
          <w:divBdr>
            <w:top w:val="none" w:sz="0" w:space="0" w:color="auto"/>
            <w:left w:val="none" w:sz="0" w:space="0" w:color="auto"/>
            <w:bottom w:val="none" w:sz="0" w:space="0" w:color="auto"/>
            <w:right w:val="none" w:sz="0" w:space="0" w:color="auto"/>
          </w:divBdr>
        </w:div>
      </w:divsChild>
    </w:div>
    <w:div w:id="708147788">
      <w:bodyDiv w:val="1"/>
      <w:marLeft w:val="0"/>
      <w:marRight w:val="0"/>
      <w:marTop w:val="0"/>
      <w:marBottom w:val="0"/>
      <w:divBdr>
        <w:top w:val="none" w:sz="0" w:space="0" w:color="auto"/>
        <w:left w:val="none" w:sz="0" w:space="0" w:color="auto"/>
        <w:bottom w:val="none" w:sz="0" w:space="0" w:color="auto"/>
        <w:right w:val="none" w:sz="0" w:space="0" w:color="auto"/>
      </w:divBdr>
      <w:divsChild>
        <w:div w:id="1764181272">
          <w:marLeft w:val="547"/>
          <w:marRight w:val="0"/>
          <w:marTop w:val="50"/>
          <w:marBottom w:val="120"/>
          <w:divBdr>
            <w:top w:val="none" w:sz="0" w:space="0" w:color="auto"/>
            <w:left w:val="none" w:sz="0" w:space="0" w:color="auto"/>
            <w:bottom w:val="none" w:sz="0" w:space="0" w:color="auto"/>
            <w:right w:val="none" w:sz="0" w:space="0" w:color="auto"/>
          </w:divBdr>
        </w:div>
        <w:div w:id="279144671">
          <w:marLeft w:val="547"/>
          <w:marRight w:val="0"/>
          <w:marTop w:val="50"/>
          <w:marBottom w:val="120"/>
          <w:divBdr>
            <w:top w:val="none" w:sz="0" w:space="0" w:color="auto"/>
            <w:left w:val="none" w:sz="0" w:space="0" w:color="auto"/>
            <w:bottom w:val="none" w:sz="0" w:space="0" w:color="auto"/>
            <w:right w:val="none" w:sz="0" w:space="0" w:color="auto"/>
          </w:divBdr>
        </w:div>
        <w:div w:id="1737584109">
          <w:marLeft w:val="1051"/>
          <w:marRight w:val="0"/>
          <w:marTop w:val="80"/>
          <w:marBottom w:val="40"/>
          <w:divBdr>
            <w:top w:val="none" w:sz="0" w:space="0" w:color="auto"/>
            <w:left w:val="none" w:sz="0" w:space="0" w:color="auto"/>
            <w:bottom w:val="none" w:sz="0" w:space="0" w:color="auto"/>
            <w:right w:val="none" w:sz="0" w:space="0" w:color="auto"/>
          </w:divBdr>
        </w:div>
        <w:div w:id="297731977">
          <w:marLeft w:val="547"/>
          <w:marRight w:val="0"/>
          <w:marTop w:val="50"/>
          <w:marBottom w:val="120"/>
          <w:divBdr>
            <w:top w:val="none" w:sz="0" w:space="0" w:color="auto"/>
            <w:left w:val="none" w:sz="0" w:space="0" w:color="auto"/>
            <w:bottom w:val="none" w:sz="0" w:space="0" w:color="auto"/>
            <w:right w:val="none" w:sz="0" w:space="0" w:color="auto"/>
          </w:divBdr>
        </w:div>
      </w:divsChild>
    </w:div>
    <w:div w:id="1794714206">
      <w:bodyDiv w:val="1"/>
      <w:marLeft w:val="0"/>
      <w:marRight w:val="0"/>
      <w:marTop w:val="0"/>
      <w:marBottom w:val="0"/>
      <w:divBdr>
        <w:top w:val="none" w:sz="0" w:space="0" w:color="auto"/>
        <w:left w:val="none" w:sz="0" w:space="0" w:color="auto"/>
        <w:bottom w:val="none" w:sz="0" w:space="0" w:color="auto"/>
        <w:right w:val="none" w:sz="0" w:space="0" w:color="auto"/>
      </w:divBdr>
      <w:divsChild>
        <w:div w:id="183718053">
          <w:marLeft w:val="1166"/>
          <w:marRight w:val="0"/>
          <w:marTop w:val="80"/>
          <w:marBottom w:val="200"/>
          <w:divBdr>
            <w:top w:val="none" w:sz="0" w:space="0" w:color="auto"/>
            <w:left w:val="none" w:sz="0" w:space="0" w:color="auto"/>
            <w:bottom w:val="none" w:sz="0" w:space="0" w:color="auto"/>
            <w:right w:val="none" w:sz="0" w:space="0" w:color="auto"/>
          </w:divBdr>
        </w:div>
        <w:div w:id="1767533440">
          <w:marLeft w:val="1166"/>
          <w:marRight w:val="0"/>
          <w:marTop w:val="80"/>
          <w:marBottom w:val="200"/>
          <w:divBdr>
            <w:top w:val="none" w:sz="0" w:space="0" w:color="auto"/>
            <w:left w:val="none" w:sz="0" w:space="0" w:color="auto"/>
            <w:bottom w:val="none" w:sz="0" w:space="0" w:color="auto"/>
            <w:right w:val="none" w:sz="0" w:space="0" w:color="auto"/>
          </w:divBdr>
        </w:div>
        <w:div w:id="1312364863">
          <w:marLeft w:val="1166"/>
          <w:marRight w:val="0"/>
          <w:marTop w:val="80"/>
          <w:marBottom w:val="200"/>
          <w:divBdr>
            <w:top w:val="none" w:sz="0" w:space="0" w:color="auto"/>
            <w:left w:val="none" w:sz="0" w:space="0" w:color="auto"/>
            <w:bottom w:val="none" w:sz="0" w:space="0" w:color="auto"/>
            <w:right w:val="none" w:sz="0" w:space="0" w:color="auto"/>
          </w:divBdr>
        </w:div>
        <w:div w:id="1757243214">
          <w:marLeft w:val="1742"/>
          <w:marRight w:val="0"/>
          <w:marTop w:val="20"/>
          <w:marBottom w:val="200"/>
          <w:divBdr>
            <w:top w:val="none" w:sz="0" w:space="0" w:color="auto"/>
            <w:left w:val="none" w:sz="0" w:space="0" w:color="auto"/>
            <w:bottom w:val="none" w:sz="0" w:space="0" w:color="auto"/>
            <w:right w:val="none" w:sz="0" w:space="0" w:color="auto"/>
          </w:divBdr>
        </w:div>
        <w:div w:id="1963219541">
          <w:marLeft w:val="1166"/>
          <w:marRight w:val="0"/>
          <w:marTop w:val="80"/>
          <w:marBottom w:val="200"/>
          <w:divBdr>
            <w:top w:val="none" w:sz="0" w:space="0" w:color="auto"/>
            <w:left w:val="none" w:sz="0" w:space="0" w:color="auto"/>
            <w:bottom w:val="none" w:sz="0" w:space="0" w:color="auto"/>
            <w:right w:val="none" w:sz="0" w:space="0" w:color="auto"/>
          </w:divBdr>
        </w:div>
        <w:div w:id="943998517">
          <w:marLeft w:val="1166"/>
          <w:marRight w:val="0"/>
          <w:marTop w:val="80"/>
          <w:marBottom w:val="200"/>
          <w:divBdr>
            <w:top w:val="none" w:sz="0" w:space="0" w:color="auto"/>
            <w:left w:val="none" w:sz="0" w:space="0" w:color="auto"/>
            <w:bottom w:val="none" w:sz="0" w:space="0" w:color="auto"/>
            <w:right w:val="none" w:sz="0" w:space="0" w:color="auto"/>
          </w:divBdr>
        </w:div>
      </w:divsChild>
    </w:div>
    <w:div w:id="1945265490">
      <w:bodyDiv w:val="1"/>
      <w:marLeft w:val="0"/>
      <w:marRight w:val="0"/>
      <w:marTop w:val="0"/>
      <w:marBottom w:val="0"/>
      <w:divBdr>
        <w:top w:val="none" w:sz="0" w:space="0" w:color="auto"/>
        <w:left w:val="none" w:sz="0" w:space="0" w:color="auto"/>
        <w:bottom w:val="none" w:sz="0" w:space="0" w:color="auto"/>
        <w:right w:val="none" w:sz="0" w:space="0" w:color="auto"/>
      </w:divBdr>
      <w:divsChild>
        <w:div w:id="119543333">
          <w:marLeft w:val="1166"/>
          <w:marRight w:val="0"/>
          <w:marTop w:val="80"/>
          <w:marBottom w:val="200"/>
          <w:divBdr>
            <w:top w:val="none" w:sz="0" w:space="0" w:color="auto"/>
            <w:left w:val="none" w:sz="0" w:space="0" w:color="auto"/>
            <w:bottom w:val="none" w:sz="0" w:space="0" w:color="auto"/>
            <w:right w:val="none" w:sz="0" w:space="0" w:color="auto"/>
          </w:divBdr>
        </w:div>
        <w:div w:id="381057557">
          <w:marLeft w:val="1166"/>
          <w:marRight w:val="0"/>
          <w:marTop w:val="80"/>
          <w:marBottom w:val="200"/>
          <w:divBdr>
            <w:top w:val="none" w:sz="0" w:space="0" w:color="auto"/>
            <w:left w:val="none" w:sz="0" w:space="0" w:color="auto"/>
            <w:bottom w:val="none" w:sz="0" w:space="0" w:color="auto"/>
            <w:right w:val="none" w:sz="0" w:space="0" w:color="auto"/>
          </w:divBdr>
        </w:div>
        <w:div w:id="1433085667">
          <w:marLeft w:val="1166"/>
          <w:marRight w:val="0"/>
          <w:marTop w:val="80"/>
          <w:marBottom w:val="200"/>
          <w:divBdr>
            <w:top w:val="none" w:sz="0" w:space="0" w:color="auto"/>
            <w:left w:val="none" w:sz="0" w:space="0" w:color="auto"/>
            <w:bottom w:val="none" w:sz="0" w:space="0" w:color="auto"/>
            <w:right w:val="none" w:sz="0" w:space="0" w:color="auto"/>
          </w:divBdr>
        </w:div>
        <w:div w:id="1099058044">
          <w:marLeft w:val="1742"/>
          <w:marRight w:val="0"/>
          <w:marTop w:val="20"/>
          <w:marBottom w:val="200"/>
          <w:divBdr>
            <w:top w:val="none" w:sz="0" w:space="0" w:color="auto"/>
            <w:left w:val="none" w:sz="0" w:space="0" w:color="auto"/>
            <w:bottom w:val="none" w:sz="0" w:space="0" w:color="auto"/>
            <w:right w:val="none" w:sz="0" w:space="0" w:color="auto"/>
          </w:divBdr>
        </w:div>
      </w:divsChild>
    </w:div>
    <w:div w:id="2124809146">
      <w:bodyDiv w:val="1"/>
      <w:marLeft w:val="0"/>
      <w:marRight w:val="0"/>
      <w:marTop w:val="0"/>
      <w:marBottom w:val="0"/>
      <w:divBdr>
        <w:top w:val="none" w:sz="0" w:space="0" w:color="auto"/>
        <w:left w:val="none" w:sz="0" w:space="0" w:color="auto"/>
        <w:bottom w:val="none" w:sz="0" w:space="0" w:color="auto"/>
        <w:right w:val="none" w:sz="0" w:space="0" w:color="auto"/>
      </w:divBdr>
      <w:divsChild>
        <w:div w:id="1208302493">
          <w:marLeft w:val="547"/>
          <w:marRight w:val="0"/>
          <w:marTop w:val="0"/>
          <w:marBottom w:val="0"/>
          <w:divBdr>
            <w:top w:val="none" w:sz="0" w:space="0" w:color="auto"/>
            <w:left w:val="none" w:sz="0" w:space="0" w:color="auto"/>
            <w:bottom w:val="none" w:sz="0" w:space="0" w:color="auto"/>
            <w:right w:val="none" w:sz="0" w:space="0" w:color="auto"/>
          </w:divBdr>
        </w:div>
        <w:div w:id="12732067">
          <w:marLeft w:val="547"/>
          <w:marRight w:val="0"/>
          <w:marTop w:val="0"/>
          <w:marBottom w:val="0"/>
          <w:divBdr>
            <w:top w:val="none" w:sz="0" w:space="0" w:color="auto"/>
            <w:left w:val="none" w:sz="0" w:space="0" w:color="auto"/>
            <w:bottom w:val="none" w:sz="0" w:space="0" w:color="auto"/>
            <w:right w:val="none" w:sz="0" w:space="0" w:color="auto"/>
          </w:divBdr>
        </w:div>
        <w:div w:id="7037945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4456</Words>
  <Characters>25402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Driscoll, Deborah</dc:creator>
  <cp:keywords/>
  <dc:description/>
  <cp:lastModifiedBy>Christopher Jayne</cp:lastModifiedBy>
  <cp:revision>4</cp:revision>
  <cp:lastPrinted>2025-05-28T16:25:00Z</cp:lastPrinted>
  <dcterms:created xsi:type="dcterms:W3CDTF">2026-02-24T14:56:00Z</dcterms:created>
  <dcterms:modified xsi:type="dcterms:W3CDTF">2026-02-25T15:02:00Z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PENN #489694.1</vt:lpwstr>
  </property>
</Properties>
</file>